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EFDF5" w14:textId="77777777" w:rsidR="00BE4210" w:rsidRDefault="00BE4210" w:rsidP="00BE4210">
      <w:pPr>
        <w:jc w:val="center"/>
        <w:rPr>
          <w:rFonts w:ascii="Times New Roman" w:hAnsi="Times New Roman" w:cs="Times New Roman"/>
          <w:b/>
          <w:bCs/>
          <w:sz w:val="32"/>
          <w:szCs w:val="32"/>
        </w:rPr>
      </w:pPr>
      <w:r>
        <w:rPr>
          <w:rFonts w:ascii="Times New Roman" w:hAnsi="Times New Roman" w:cs="Times New Roman"/>
          <w:b/>
          <w:bCs/>
          <w:sz w:val="32"/>
          <w:szCs w:val="32"/>
        </w:rPr>
        <w:t>REBA’s Standards &amp; Forms Committee Offers</w:t>
      </w:r>
    </w:p>
    <w:p w14:paraId="51C6963F" w14:textId="77777777" w:rsidR="00BE4210" w:rsidRDefault="00BE4210" w:rsidP="00BE4210">
      <w:pPr>
        <w:jc w:val="center"/>
        <w:rPr>
          <w:rFonts w:ascii="Times New Roman" w:hAnsi="Times New Roman" w:cs="Times New Roman"/>
          <w:b/>
          <w:bCs/>
          <w:sz w:val="32"/>
          <w:szCs w:val="32"/>
        </w:rPr>
      </w:pPr>
      <w:r>
        <w:rPr>
          <w:rFonts w:ascii="Times New Roman" w:hAnsi="Times New Roman" w:cs="Times New Roman"/>
          <w:b/>
          <w:bCs/>
          <w:sz w:val="32"/>
          <w:szCs w:val="32"/>
        </w:rPr>
        <w:t xml:space="preserve">Provisional Revisions to Residential Purchase and Sale Agreements </w:t>
      </w:r>
    </w:p>
    <w:p w14:paraId="21A14EFC" w14:textId="3910BA44" w:rsidR="00BE4210" w:rsidRDefault="00BE4210" w:rsidP="00BE4210">
      <w:pPr>
        <w:jc w:val="center"/>
        <w:rPr>
          <w:rFonts w:ascii="Times New Roman" w:hAnsi="Times New Roman" w:cs="Times New Roman"/>
          <w:b/>
          <w:bCs/>
          <w:sz w:val="32"/>
          <w:szCs w:val="32"/>
        </w:rPr>
      </w:pPr>
      <w:r>
        <w:rPr>
          <w:rFonts w:ascii="Times New Roman" w:hAnsi="Times New Roman" w:cs="Times New Roman"/>
          <w:b/>
          <w:bCs/>
          <w:sz w:val="32"/>
          <w:szCs w:val="32"/>
        </w:rPr>
        <w:t>Relating to Real Estate Commissions</w:t>
      </w:r>
    </w:p>
    <w:p w14:paraId="65AC8936" w14:textId="77777777" w:rsidR="00BE4210" w:rsidRDefault="00BE4210" w:rsidP="00BE4210">
      <w:pPr>
        <w:spacing w:after="0" w:line="240" w:lineRule="auto"/>
        <w:jc w:val="both"/>
        <w:rPr>
          <w:rFonts w:ascii="Times New Roman" w:hAnsi="Times New Roman" w:cs="Times New Roman"/>
          <w:i/>
          <w:iCs/>
          <w:sz w:val="24"/>
          <w:szCs w:val="24"/>
        </w:rPr>
      </w:pPr>
    </w:p>
    <w:p w14:paraId="2F651602" w14:textId="54B60361" w:rsidR="00BE4210" w:rsidRDefault="00BE4210" w:rsidP="00BE4210">
      <w:pPr>
        <w:spacing w:after="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In response to inquiries and concerns from members, the Standards and Forms Committee is pleased to offer draft revisions to Paragraph 5.7 of REBA Form No. 66, which relates to payment of real estate broker commissions.  This Form, originally approved in 2021, includes various rider provisions for use with residential purchase and sale agreements for single-family, 1-4 family and condominium units.</w:t>
      </w:r>
    </w:p>
    <w:p w14:paraId="142BA755" w14:textId="77777777" w:rsidR="00BE4210" w:rsidRDefault="00BE4210" w:rsidP="00BE4210">
      <w:pPr>
        <w:spacing w:after="0" w:line="240" w:lineRule="auto"/>
        <w:ind w:firstLine="720"/>
        <w:jc w:val="both"/>
        <w:rPr>
          <w:rFonts w:ascii="Times New Roman" w:hAnsi="Times New Roman" w:cs="Times New Roman"/>
          <w:i/>
          <w:iCs/>
          <w:sz w:val="24"/>
          <w:szCs w:val="24"/>
        </w:rPr>
      </w:pPr>
    </w:p>
    <w:p w14:paraId="24CD78FA" w14:textId="1AED7A63" w:rsidR="00BE4210" w:rsidRPr="00E06708" w:rsidRDefault="00BE4210" w:rsidP="00BE4210">
      <w:pPr>
        <w:spacing w:after="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The Committee recommends use of this draft provisional paragraph pending release of a final iteration of Paragraph 5.7</w:t>
      </w:r>
      <w:r w:rsidR="006D7351">
        <w:rPr>
          <w:rFonts w:ascii="Times New Roman" w:hAnsi="Times New Roman" w:cs="Times New Roman"/>
          <w:i/>
          <w:iCs/>
          <w:sz w:val="24"/>
          <w:szCs w:val="24"/>
        </w:rPr>
        <w:t>, a copy of which is available by clicking here.</w:t>
      </w:r>
    </w:p>
    <w:p w14:paraId="192E3B41" w14:textId="77777777" w:rsidR="009E3BA9" w:rsidRPr="00B70B9C" w:rsidRDefault="009E3BA9" w:rsidP="0011023C">
      <w:pPr>
        <w:widowControl w:val="0"/>
        <w:spacing w:after="0" w:line="240" w:lineRule="auto"/>
        <w:ind w:firstLine="720"/>
        <w:jc w:val="both"/>
        <w:rPr>
          <w:rFonts w:ascii="Times New Roman" w:hAnsi="Times New Roman" w:cs="Times New Roman"/>
          <w:i/>
          <w:iCs/>
          <w:sz w:val="24"/>
          <w:szCs w:val="24"/>
        </w:rPr>
      </w:pPr>
    </w:p>
    <w:p w14:paraId="6807C687" w14:textId="79A06421"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r w:rsidRPr="00B70B9C">
        <w:rPr>
          <w:rFonts w:ascii="Times New Roman" w:hAnsi="Times New Roman" w:cs="Times New Roman"/>
          <w:i/>
          <w:iCs/>
          <w:sz w:val="24"/>
          <w:szCs w:val="24"/>
        </w:rPr>
        <w:t xml:space="preserve">The issue of broker compensation has been the subject of national and local class action lawsuits, including Sitzer v. </w:t>
      </w:r>
      <w:proofErr w:type="spellStart"/>
      <w:r w:rsidRPr="00B70B9C">
        <w:rPr>
          <w:rFonts w:ascii="Times New Roman" w:hAnsi="Times New Roman" w:cs="Times New Roman"/>
          <w:i/>
          <w:iCs/>
          <w:sz w:val="24"/>
          <w:szCs w:val="24"/>
        </w:rPr>
        <w:t>Nat’l</w:t>
      </w:r>
      <w:proofErr w:type="spellEnd"/>
      <w:r w:rsidRPr="00B70B9C">
        <w:rPr>
          <w:rFonts w:ascii="Times New Roman" w:hAnsi="Times New Roman" w:cs="Times New Roman"/>
          <w:i/>
          <w:iCs/>
          <w:sz w:val="24"/>
          <w:szCs w:val="24"/>
        </w:rPr>
        <w:t xml:space="preserve"> </w:t>
      </w:r>
      <w:proofErr w:type="spellStart"/>
      <w:r w:rsidRPr="00B70B9C">
        <w:rPr>
          <w:rFonts w:ascii="Times New Roman" w:hAnsi="Times New Roman" w:cs="Times New Roman"/>
          <w:i/>
          <w:iCs/>
          <w:sz w:val="24"/>
          <w:szCs w:val="24"/>
        </w:rPr>
        <w:t>Ass’n</w:t>
      </w:r>
      <w:proofErr w:type="spellEnd"/>
      <w:r w:rsidRPr="00B70B9C">
        <w:rPr>
          <w:rFonts w:ascii="Times New Roman" w:hAnsi="Times New Roman" w:cs="Times New Roman"/>
          <w:i/>
          <w:iCs/>
          <w:sz w:val="24"/>
          <w:szCs w:val="24"/>
        </w:rPr>
        <w:t xml:space="preserve"> of Realtors et al, Case No. 4:19-cv-00332-SRB (W.D. Mo. 2019) (commonly known as Sitzer/Burnett), Moehrl v. National Association of Realtors, No. 1:2019cv01610 - Document 184 (N.D. Ill. 2020) and locally, </w:t>
      </w:r>
      <w:proofErr w:type="spellStart"/>
      <w:r w:rsidRPr="00B70B9C">
        <w:rPr>
          <w:rFonts w:ascii="Times New Roman" w:hAnsi="Times New Roman" w:cs="Times New Roman"/>
          <w:i/>
          <w:iCs/>
          <w:sz w:val="24"/>
          <w:szCs w:val="24"/>
        </w:rPr>
        <w:t>Nosalek</w:t>
      </w:r>
      <w:proofErr w:type="spellEnd"/>
      <w:r w:rsidRPr="00B70B9C">
        <w:rPr>
          <w:rFonts w:ascii="Times New Roman" w:hAnsi="Times New Roman" w:cs="Times New Roman"/>
          <w:i/>
          <w:iCs/>
          <w:sz w:val="24"/>
          <w:szCs w:val="24"/>
        </w:rPr>
        <w:t xml:space="preserve"> v. MLS Property Information Network Inc. et al, filed in the United District Court in Massachusetts in 2021 as Case No. 20-cv-12244-PBS. </w:t>
      </w:r>
    </w:p>
    <w:p w14:paraId="0D5805BC" w14:textId="77777777"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p>
    <w:p w14:paraId="04E0A4DD" w14:textId="77777777"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r w:rsidRPr="00B70B9C">
        <w:rPr>
          <w:rFonts w:ascii="Times New Roman" w:hAnsi="Times New Roman" w:cs="Times New Roman"/>
          <w:i/>
          <w:iCs/>
          <w:sz w:val="24"/>
          <w:szCs w:val="24"/>
        </w:rPr>
        <w:t>These broker compensation cases alleged the defendants conspired to inflate real estate commissions by enforcing a cooperative compensation rule that required listing brokers to offer compensation to buyer brokers on Multiple Listing Service databases (MLS) resulting in fixed commission rates, and that some Sellers may have not been aware this resulted in Sellers paying the Buyer’s broker’s commission compensation.  The jury in the Sitzer/Burnett case agreed, finding the defendants liable for violating Section 1 of the Sherman Antitrust Act, 15 U.S.C. § 1 and awarded approximately $1.785 billion dollars to the Plaintiffs.  Following the Sitzer/Burnett verdict, over thirty copy-cat cases have been filed against over 250 defendants, and it is anticipated additional cases concerning broker compensation and policies of the various MLS companies will surface.</w:t>
      </w:r>
      <w:r w:rsidRPr="00B70B9C">
        <w:rPr>
          <w:rStyle w:val="FootnoteReference"/>
          <w:rFonts w:ascii="Times New Roman" w:hAnsi="Times New Roman" w:cs="Times New Roman"/>
          <w:i/>
          <w:iCs/>
          <w:sz w:val="24"/>
          <w:szCs w:val="24"/>
        </w:rPr>
        <w:footnoteReference w:id="1"/>
      </w:r>
      <w:r w:rsidRPr="00B70B9C">
        <w:rPr>
          <w:rFonts w:ascii="Times New Roman" w:hAnsi="Times New Roman" w:cs="Times New Roman"/>
          <w:i/>
          <w:iCs/>
          <w:sz w:val="24"/>
          <w:szCs w:val="24"/>
        </w:rPr>
        <w:t xml:space="preserve">  </w:t>
      </w:r>
    </w:p>
    <w:p w14:paraId="3921622A" w14:textId="77777777"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p>
    <w:p w14:paraId="50BFC1B8" w14:textId="77777777"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r w:rsidRPr="00B70B9C">
        <w:rPr>
          <w:rFonts w:ascii="Times New Roman" w:hAnsi="Times New Roman" w:cs="Times New Roman"/>
          <w:i/>
          <w:iCs/>
          <w:sz w:val="24"/>
          <w:szCs w:val="24"/>
        </w:rPr>
        <w:t>As a result, efforts have been made to settle several of the lawsuits, and the National Association of REALTORS</w:t>
      </w:r>
      <w:r w:rsidRPr="00B70B9C">
        <w:rPr>
          <w:rFonts w:ascii="Times New Roman" w:hAnsi="Times New Roman" w:cs="Times New Roman"/>
          <w:i/>
          <w:iCs/>
          <w:sz w:val="24"/>
          <w:szCs w:val="24"/>
        </w:rPr>
        <w:sym w:font="Symbol" w:char="F0E2"/>
      </w:r>
      <w:r w:rsidRPr="00B70B9C">
        <w:rPr>
          <w:rFonts w:ascii="Times New Roman" w:hAnsi="Times New Roman" w:cs="Times New Roman"/>
          <w:i/>
          <w:iCs/>
          <w:sz w:val="24"/>
          <w:szCs w:val="24"/>
        </w:rPr>
        <w:t xml:space="preserve"> (NAR) and many of the larger corporate defendants have entered into nationwide settlement agreements pending final Court approval. A stay has been issued in the </w:t>
      </w:r>
      <w:proofErr w:type="spellStart"/>
      <w:r w:rsidRPr="00B70B9C">
        <w:rPr>
          <w:rFonts w:ascii="Times New Roman" w:hAnsi="Times New Roman" w:cs="Times New Roman"/>
          <w:i/>
          <w:iCs/>
          <w:sz w:val="24"/>
          <w:szCs w:val="24"/>
        </w:rPr>
        <w:t>Nosalek</w:t>
      </w:r>
      <w:proofErr w:type="spellEnd"/>
      <w:r w:rsidRPr="00B70B9C">
        <w:rPr>
          <w:rFonts w:ascii="Times New Roman" w:hAnsi="Times New Roman" w:cs="Times New Roman"/>
          <w:i/>
          <w:iCs/>
          <w:sz w:val="24"/>
          <w:szCs w:val="24"/>
        </w:rPr>
        <w:t xml:space="preserve"> case until the NAR settlement is finalized.</w:t>
      </w:r>
    </w:p>
    <w:p w14:paraId="67778F3A" w14:textId="77777777"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p>
    <w:p w14:paraId="70BE86AC" w14:textId="77777777"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r w:rsidRPr="00B70B9C">
        <w:rPr>
          <w:rFonts w:ascii="Times New Roman" w:hAnsi="Times New Roman" w:cs="Times New Roman"/>
          <w:i/>
          <w:iCs/>
          <w:sz w:val="24"/>
          <w:szCs w:val="24"/>
        </w:rPr>
        <w:t>The below alternatives for paying the Buyer’s broker are based upon the information and settlement terms of the cases available at the time this Advisory Report was drafted.  This Form shall be reviewed and revised, if so required, once the cases conclude.</w:t>
      </w:r>
    </w:p>
    <w:p w14:paraId="372D1DD3" w14:textId="77777777" w:rsidR="00A97025" w:rsidRPr="00B70B9C" w:rsidRDefault="00A97025" w:rsidP="0011023C">
      <w:pPr>
        <w:widowControl w:val="0"/>
        <w:spacing w:after="0" w:line="240" w:lineRule="auto"/>
        <w:ind w:firstLine="720"/>
        <w:jc w:val="both"/>
        <w:rPr>
          <w:rFonts w:ascii="Times New Roman" w:hAnsi="Times New Roman" w:cs="Times New Roman"/>
          <w:i/>
          <w:iCs/>
          <w:sz w:val="24"/>
          <w:szCs w:val="24"/>
        </w:rPr>
      </w:pPr>
    </w:p>
    <w:p w14:paraId="113240C0" w14:textId="77777777" w:rsidR="0011023C" w:rsidRDefault="0011023C" w:rsidP="0011023C">
      <w:pPr>
        <w:widowControl w:val="0"/>
        <w:spacing w:after="0" w:line="240" w:lineRule="auto"/>
        <w:ind w:firstLine="720"/>
        <w:jc w:val="both"/>
        <w:rPr>
          <w:rFonts w:ascii="Times New Roman" w:hAnsi="Times New Roman" w:cs="Times New Roman"/>
          <w:bCs/>
          <w:sz w:val="24"/>
          <w:szCs w:val="24"/>
        </w:rPr>
      </w:pPr>
      <w:r w:rsidRPr="00303AFF">
        <w:rPr>
          <w:rFonts w:ascii="Times New Roman" w:hAnsi="Times New Roman" w:cs="Times New Roman"/>
          <w:sz w:val="24"/>
          <w:szCs w:val="24"/>
        </w:rPr>
        <w:t>5.7</w:t>
      </w:r>
      <w:r w:rsidRPr="00303AFF">
        <w:rPr>
          <w:rFonts w:ascii="Times New Roman" w:hAnsi="Times New Roman" w:cs="Times New Roman"/>
          <w:sz w:val="24"/>
          <w:szCs w:val="24"/>
        </w:rPr>
        <w:tab/>
      </w:r>
      <w:r w:rsidRPr="00303AFF">
        <w:rPr>
          <w:rFonts w:ascii="Times New Roman" w:hAnsi="Times New Roman" w:cs="Times New Roman"/>
          <w:bCs/>
          <w:sz w:val="24"/>
          <w:szCs w:val="24"/>
        </w:rPr>
        <w:t>BROKERS / BROKER’S COMMISSION</w:t>
      </w:r>
    </w:p>
    <w:p w14:paraId="4FEAB0FC" w14:textId="77777777" w:rsidR="0011023C" w:rsidRPr="00B2539C" w:rsidRDefault="0011023C" w:rsidP="0011023C">
      <w:pPr>
        <w:widowControl w:val="0"/>
        <w:spacing w:after="0" w:line="240" w:lineRule="auto"/>
        <w:ind w:firstLine="720"/>
        <w:jc w:val="both"/>
        <w:rPr>
          <w:rFonts w:ascii="Times New Roman" w:hAnsi="Times New Roman" w:cs="Times New Roman"/>
          <w:bCs/>
          <w:sz w:val="24"/>
          <w:szCs w:val="24"/>
        </w:rPr>
      </w:pPr>
    </w:p>
    <w:tbl>
      <w:tblPr>
        <w:tblpPr w:leftFromText="180" w:rightFromText="180" w:vertAnchor="text" w:horzAnchor="margin" w:tblpY="128"/>
        <w:tblW w:w="0" w:type="auto"/>
        <w:tblCellMar>
          <w:left w:w="0" w:type="dxa"/>
          <w:right w:w="0" w:type="dxa"/>
        </w:tblCellMar>
        <w:tblLook w:val="04A0" w:firstRow="1" w:lastRow="0" w:firstColumn="1" w:lastColumn="0" w:noHBand="0" w:noVBand="1"/>
      </w:tblPr>
      <w:tblGrid>
        <w:gridCol w:w="4490"/>
        <w:gridCol w:w="4490"/>
      </w:tblGrid>
      <w:tr w:rsidR="0011023C" w:rsidRPr="005E77F6" w14:paraId="3E7BB381" w14:textId="77777777" w:rsidTr="00061E8F">
        <w:trPr>
          <w:trHeight w:val="340"/>
        </w:trPr>
        <w:tc>
          <w:tcPr>
            <w:tcW w:w="4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485F7" w14:textId="77777777" w:rsidR="0011023C" w:rsidRPr="008349D6" w:rsidRDefault="0011023C" w:rsidP="00061E8F">
            <w:pPr>
              <w:widowControl w:val="0"/>
              <w:spacing w:after="0" w:line="240" w:lineRule="auto"/>
              <w:ind w:firstLine="600"/>
              <w:jc w:val="both"/>
              <w:rPr>
                <w:rFonts w:ascii="Times New Roman" w:hAnsi="Times New Roman" w:cs="Times New Roman"/>
                <w:b/>
                <w:bCs/>
                <w:sz w:val="24"/>
                <w:szCs w:val="24"/>
              </w:rPr>
            </w:pPr>
            <w:r w:rsidRPr="008349D6">
              <w:rPr>
                <w:rFonts w:ascii="Times New Roman" w:hAnsi="Times New Roman" w:cs="Times New Roman"/>
                <w:b/>
                <w:bCs/>
                <w:sz w:val="24"/>
                <w:szCs w:val="24"/>
              </w:rPr>
              <w:t>SELLER's BROKER</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44D70" w14:textId="77777777" w:rsidR="0011023C" w:rsidRPr="008349D6" w:rsidRDefault="0011023C" w:rsidP="00061E8F">
            <w:pPr>
              <w:widowControl w:val="0"/>
              <w:spacing w:after="0" w:line="240" w:lineRule="auto"/>
              <w:ind w:firstLine="520"/>
              <w:jc w:val="both"/>
              <w:rPr>
                <w:rFonts w:ascii="Times New Roman" w:hAnsi="Times New Roman" w:cs="Times New Roman"/>
                <w:b/>
                <w:bCs/>
                <w:sz w:val="24"/>
                <w:szCs w:val="24"/>
              </w:rPr>
            </w:pPr>
            <w:r w:rsidRPr="008349D6">
              <w:rPr>
                <w:rFonts w:ascii="Times New Roman" w:hAnsi="Times New Roman" w:cs="Times New Roman"/>
                <w:b/>
                <w:bCs/>
                <w:sz w:val="24"/>
                <w:szCs w:val="24"/>
              </w:rPr>
              <w:t xml:space="preserve">BUYER's </w:t>
            </w:r>
            <w:r>
              <w:rPr>
                <w:rFonts w:ascii="Times New Roman" w:hAnsi="Times New Roman" w:cs="Times New Roman"/>
                <w:b/>
                <w:bCs/>
                <w:sz w:val="24"/>
                <w:szCs w:val="24"/>
              </w:rPr>
              <w:t>BROKER</w:t>
            </w:r>
          </w:p>
        </w:tc>
      </w:tr>
      <w:tr w:rsidR="0011023C" w:rsidRPr="005E77F6" w14:paraId="43C1FE1F" w14:textId="77777777" w:rsidTr="00061E8F">
        <w:trPr>
          <w:trHeight w:val="340"/>
        </w:trPr>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3255" w14:textId="2A703D48" w:rsidR="0011023C" w:rsidRPr="0046613C" w:rsidRDefault="0011023C" w:rsidP="0046613C">
            <w:pPr>
              <w:widowControl w:val="0"/>
              <w:tabs>
                <w:tab w:val="left" w:pos="4020"/>
              </w:tabs>
              <w:spacing w:after="0" w:line="240" w:lineRule="auto"/>
              <w:ind w:firstLine="600"/>
              <w:rPr>
                <w:rFonts w:ascii="Times New Roman" w:hAnsi="Times New Roman" w:cs="Times New Roman"/>
                <w:sz w:val="24"/>
                <w:szCs w:val="24"/>
                <w:u w:val="single"/>
              </w:rPr>
            </w:pPr>
            <w:r w:rsidRPr="005E77F6">
              <w:rPr>
                <w:rFonts w:ascii="Times New Roman" w:hAnsi="Times New Roman" w:cs="Times New Roman"/>
                <w:sz w:val="24"/>
                <w:szCs w:val="24"/>
              </w:rPr>
              <w:t xml:space="preserve">Name: </w:t>
            </w:r>
            <w:r w:rsidR="0046613C">
              <w:rPr>
                <w:rFonts w:ascii="Times New Roman" w:hAnsi="Times New Roman" w:cs="Times New Roman"/>
                <w:sz w:val="24"/>
                <w:szCs w:val="24"/>
                <w:u w:val="single"/>
              </w:rPr>
              <w:tab/>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14:paraId="2B71B1E2" w14:textId="0D811199" w:rsidR="0011023C" w:rsidRPr="005E77F6" w:rsidRDefault="0011023C" w:rsidP="0046613C">
            <w:pPr>
              <w:widowControl w:val="0"/>
              <w:tabs>
                <w:tab w:val="left" w:pos="3940"/>
              </w:tabs>
              <w:spacing w:after="0" w:line="240" w:lineRule="auto"/>
              <w:ind w:firstLine="520"/>
              <w:rPr>
                <w:rFonts w:ascii="Times New Roman" w:hAnsi="Times New Roman" w:cs="Times New Roman"/>
                <w:sz w:val="24"/>
                <w:szCs w:val="24"/>
              </w:rPr>
            </w:pPr>
            <w:r w:rsidRPr="005E77F6">
              <w:rPr>
                <w:rFonts w:ascii="Times New Roman" w:hAnsi="Times New Roman" w:cs="Times New Roman"/>
                <w:sz w:val="24"/>
                <w:szCs w:val="24"/>
              </w:rPr>
              <w:t xml:space="preserve">Name: </w:t>
            </w:r>
            <w:r w:rsidR="0046613C">
              <w:rPr>
                <w:rFonts w:ascii="Times New Roman" w:hAnsi="Times New Roman" w:cs="Times New Roman"/>
                <w:sz w:val="24"/>
                <w:szCs w:val="24"/>
                <w:u w:val="single"/>
              </w:rPr>
              <w:tab/>
            </w:r>
          </w:p>
        </w:tc>
      </w:tr>
      <w:tr w:rsidR="0011023C" w:rsidRPr="005E77F6" w14:paraId="6F5619DA" w14:textId="77777777" w:rsidTr="00061E8F">
        <w:trPr>
          <w:trHeight w:val="340"/>
        </w:trPr>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ECEFF" w14:textId="2F6E2E15" w:rsidR="0011023C" w:rsidRPr="005E77F6" w:rsidRDefault="0011023C" w:rsidP="0046613C">
            <w:pPr>
              <w:widowControl w:val="0"/>
              <w:tabs>
                <w:tab w:val="left" w:pos="4020"/>
              </w:tabs>
              <w:spacing w:after="0" w:line="240" w:lineRule="auto"/>
              <w:ind w:firstLine="600"/>
              <w:rPr>
                <w:rFonts w:ascii="Times New Roman" w:hAnsi="Times New Roman" w:cs="Times New Roman"/>
                <w:sz w:val="24"/>
                <w:szCs w:val="24"/>
                <w:lang w:val="fr-FR"/>
              </w:rPr>
            </w:pPr>
            <w:r w:rsidRPr="005E77F6">
              <w:rPr>
                <w:rFonts w:ascii="Times New Roman" w:hAnsi="Times New Roman" w:cs="Times New Roman"/>
                <w:sz w:val="24"/>
                <w:szCs w:val="24"/>
                <w:lang w:val="fr-FR"/>
              </w:rPr>
              <w:t xml:space="preserve">MA </w:t>
            </w:r>
            <w:proofErr w:type="spellStart"/>
            <w:r w:rsidRPr="005E77F6">
              <w:rPr>
                <w:rFonts w:ascii="Times New Roman" w:hAnsi="Times New Roman" w:cs="Times New Roman"/>
                <w:sz w:val="24"/>
                <w:szCs w:val="24"/>
                <w:lang w:val="fr-FR"/>
              </w:rPr>
              <w:t>Lic</w:t>
            </w:r>
            <w:proofErr w:type="spellEnd"/>
            <w:r w:rsidRPr="005E77F6">
              <w:rPr>
                <w:rFonts w:ascii="Times New Roman" w:hAnsi="Times New Roman" w:cs="Times New Roman"/>
                <w:sz w:val="24"/>
                <w:szCs w:val="24"/>
                <w:lang w:val="fr-FR"/>
              </w:rPr>
              <w:t xml:space="preserve">. No. </w:t>
            </w:r>
            <w:r w:rsidR="0046613C">
              <w:rPr>
                <w:rFonts w:ascii="Times New Roman" w:hAnsi="Times New Roman" w:cs="Times New Roman"/>
                <w:sz w:val="24"/>
                <w:szCs w:val="24"/>
                <w:u w:val="single"/>
              </w:rPr>
              <w:tab/>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14:paraId="7897B70B" w14:textId="512E2208" w:rsidR="0011023C" w:rsidRPr="005E77F6" w:rsidRDefault="0011023C" w:rsidP="0046613C">
            <w:pPr>
              <w:widowControl w:val="0"/>
              <w:tabs>
                <w:tab w:val="left" w:pos="3940"/>
              </w:tabs>
              <w:spacing w:after="0" w:line="240" w:lineRule="auto"/>
              <w:ind w:firstLine="520"/>
              <w:rPr>
                <w:rFonts w:ascii="Times New Roman" w:hAnsi="Times New Roman" w:cs="Times New Roman"/>
                <w:sz w:val="24"/>
                <w:szCs w:val="24"/>
                <w:lang w:val="fr-FR"/>
              </w:rPr>
            </w:pPr>
            <w:r w:rsidRPr="005E77F6">
              <w:rPr>
                <w:rFonts w:ascii="Times New Roman" w:hAnsi="Times New Roman" w:cs="Times New Roman"/>
                <w:sz w:val="24"/>
                <w:szCs w:val="24"/>
                <w:lang w:val="fr-FR"/>
              </w:rPr>
              <w:t xml:space="preserve">MA </w:t>
            </w:r>
            <w:proofErr w:type="spellStart"/>
            <w:r w:rsidRPr="005E77F6">
              <w:rPr>
                <w:rFonts w:ascii="Times New Roman" w:hAnsi="Times New Roman" w:cs="Times New Roman"/>
                <w:sz w:val="24"/>
                <w:szCs w:val="24"/>
                <w:lang w:val="fr-FR"/>
              </w:rPr>
              <w:t>Lic</w:t>
            </w:r>
            <w:proofErr w:type="spellEnd"/>
            <w:r w:rsidRPr="005E77F6">
              <w:rPr>
                <w:rFonts w:ascii="Times New Roman" w:hAnsi="Times New Roman" w:cs="Times New Roman"/>
                <w:sz w:val="24"/>
                <w:szCs w:val="24"/>
                <w:lang w:val="fr-FR"/>
              </w:rPr>
              <w:t xml:space="preserve">. No. </w:t>
            </w:r>
            <w:r w:rsidR="0046613C">
              <w:rPr>
                <w:rFonts w:ascii="Times New Roman" w:hAnsi="Times New Roman" w:cs="Times New Roman"/>
                <w:sz w:val="24"/>
                <w:szCs w:val="24"/>
                <w:u w:val="single"/>
              </w:rPr>
              <w:tab/>
            </w:r>
          </w:p>
        </w:tc>
      </w:tr>
      <w:tr w:rsidR="0011023C" w:rsidRPr="005E77F6" w14:paraId="38E74F7D" w14:textId="77777777" w:rsidTr="00061E8F">
        <w:trPr>
          <w:trHeight w:val="340"/>
        </w:trPr>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ABFF2" w14:textId="3501A822" w:rsidR="0011023C" w:rsidRPr="005E77F6" w:rsidRDefault="0011023C" w:rsidP="0046613C">
            <w:pPr>
              <w:widowControl w:val="0"/>
              <w:tabs>
                <w:tab w:val="left" w:pos="4020"/>
              </w:tabs>
              <w:spacing w:after="0" w:line="240" w:lineRule="auto"/>
              <w:ind w:firstLine="600"/>
              <w:rPr>
                <w:rFonts w:ascii="Times New Roman" w:hAnsi="Times New Roman" w:cs="Times New Roman"/>
                <w:sz w:val="24"/>
                <w:szCs w:val="24"/>
                <w:lang w:val="fr-FR"/>
              </w:rPr>
            </w:pPr>
            <w:r w:rsidRPr="005E77F6">
              <w:rPr>
                <w:rFonts w:ascii="Times New Roman" w:hAnsi="Times New Roman" w:cs="Times New Roman"/>
                <w:sz w:val="24"/>
                <w:szCs w:val="24"/>
                <w:lang w:val="fr-FR"/>
              </w:rPr>
              <w:t xml:space="preserve">Mobile # </w:t>
            </w:r>
            <w:r w:rsidR="0046613C">
              <w:rPr>
                <w:rFonts w:ascii="Times New Roman" w:hAnsi="Times New Roman" w:cs="Times New Roman"/>
                <w:sz w:val="24"/>
                <w:szCs w:val="24"/>
                <w:u w:val="single"/>
              </w:rPr>
              <w:tab/>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14:paraId="64129B93" w14:textId="2E9B1351" w:rsidR="0011023C" w:rsidRPr="005E77F6" w:rsidRDefault="0011023C" w:rsidP="0046613C">
            <w:pPr>
              <w:widowControl w:val="0"/>
              <w:tabs>
                <w:tab w:val="left" w:pos="3940"/>
              </w:tabs>
              <w:spacing w:after="0" w:line="240" w:lineRule="auto"/>
              <w:ind w:firstLine="520"/>
              <w:rPr>
                <w:rFonts w:ascii="Times New Roman" w:hAnsi="Times New Roman" w:cs="Times New Roman"/>
                <w:sz w:val="24"/>
                <w:szCs w:val="24"/>
                <w:lang w:val="fr-FR"/>
              </w:rPr>
            </w:pPr>
            <w:r w:rsidRPr="005E77F6">
              <w:rPr>
                <w:rFonts w:ascii="Times New Roman" w:hAnsi="Times New Roman" w:cs="Times New Roman"/>
                <w:sz w:val="24"/>
                <w:szCs w:val="24"/>
                <w:lang w:val="fr-FR"/>
              </w:rPr>
              <w:t xml:space="preserve">Mobile # </w:t>
            </w:r>
            <w:r w:rsidR="0046613C">
              <w:rPr>
                <w:rFonts w:ascii="Times New Roman" w:hAnsi="Times New Roman" w:cs="Times New Roman"/>
                <w:sz w:val="24"/>
                <w:szCs w:val="24"/>
                <w:u w:val="single"/>
              </w:rPr>
              <w:tab/>
            </w:r>
          </w:p>
        </w:tc>
      </w:tr>
      <w:tr w:rsidR="0011023C" w:rsidRPr="005E77F6" w14:paraId="1ACA415E" w14:textId="77777777" w:rsidTr="00061E8F">
        <w:trPr>
          <w:trHeight w:val="340"/>
        </w:trPr>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13645" w14:textId="46D1DE64" w:rsidR="0011023C" w:rsidRPr="005E77F6" w:rsidRDefault="0011023C" w:rsidP="0046613C">
            <w:pPr>
              <w:widowControl w:val="0"/>
              <w:tabs>
                <w:tab w:val="left" w:pos="4020"/>
              </w:tabs>
              <w:spacing w:after="0" w:line="240" w:lineRule="auto"/>
              <w:ind w:firstLine="600"/>
              <w:rPr>
                <w:rFonts w:ascii="Times New Roman" w:hAnsi="Times New Roman" w:cs="Times New Roman"/>
                <w:sz w:val="24"/>
                <w:szCs w:val="24"/>
                <w:lang w:val="fr-FR"/>
              </w:rPr>
            </w:pPr>
            <w:proofErr w:type="gramStart"/>
            <w:r w:rsidRPr="005E77F6">
              <w:rPr>
                <w:rFonts w:ascii="Times New Roman" w:hAnsi="Times New Roman" w:cs="Times New Roman"/>
                <w:sz w:val="24"/>
                <w:szCs w:val="24"/>
                <w:lang w:val="fr-FR"/>
              </w:rPr>
              <w:t>Email:</w:t>
            </w:r>
            <w:proofErr w:type="gramEnd"/>
            <w:r w:rsidRPr="005E77F6">
              <w:rPr>
                <w:rFonts w:ascii="Times New Roman" w:hAnsi="Times New Roman" w:cs="Times New Roman"/>
                <w:sz w:val="24"/>
                <w:szCs w:val="24"/>
                <w:lang w:val="fr-FR"/>
              </w:rPr>
              <w:t xml:space="preserve"> </w:t>
            </w:r>
            <w:r w:rsidR="0046613C">
              <w:rPr>
                <w:rFonts w:ascii="Times New Roman" w:hAnsi="Times New Roman" w:cs="Times New Roman"/>
                <w:sz w:val="24"/>
                <w:szCs w:val="24"/>
                <w:u w:val="single"/>
              </w:rPr>
              <w:tab/>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14:paraId="06EBAFF7" w14:textId="6B0050AF" w:rsidR="0011023C" w:rsidRPr="005E77F6" w:rsidRDefault="0011023C" w:rsidP="0046613C">
            <w:pPr>
              <w:widowControl w:val="0"/>
              <w:tabs>
                <w:tab w:val="left" w:pos="3940"/>
              </w:tabs>
              <w:spacing w:after="0" w:line="240" w:lineRule="auto"/>
              <w:ind w:firstLine="520"/>
              <w:rPr>
                <w:rFonts w:ascii="Times New Roman" w:hAnsi="Times New Roman" w:cs="Times New Roman"/>
                <w:sz w:val="24"/>
                <w:szCs w:val="24"/>
                <w:lang w:val="fr-FR"/>
              </w:rPr>
            </w:pPr>
            <w:proofErr w:type="gramStart"/>
            <w:r w:rsidRPr="005E77F6">
              <w:rPr>
                <w:rFonts w:ascii="Times New Roman" w:hAnsi="Times New Roman" w:cs="Times New Roman"/>
                <w:sz w:val="24"/>
                <w:szCs w:val="24"/>
                <w:lang w:val="fr-FR"/>
              </w:rPr>
              <w:t>Email:</w:t>
            </w:r>
            <w:proofErr w:type="gramEnd"/>
            <w:r w:rsidRPr="005E77F6">
              <w:rPr>
                <w:rFonts w:ascii="Times New Roman" w:hAnsi="Times New Roman" w:cs="Times New Roman"/>
                <w:sz w:val="24"/>
                <w:szCs w:val="24"/>
                <w:lang w:val="fr-FR"/>
              </w:rPr>
              <w:t xml:space="preserve"> </w:t>
            </w:r>
            <w:r w:rsidR="0046613C">
              <w:rPr>
                <w:rFonts w:ascii="Times New Roman" w:hAnsi="Times New Roman" w:cs="Times New Roman"/>
                <w:sz w:val="24"/>
                <w:szCs w:val="24"/>
                <w:u w:val="single"/>
              </w:rPr>
              <w:tab/>
            </w:r>
          </w:p>
        </w:tc>
      </w:tr>
      <w:tr w:rsidR="0011023C" w:rsidRPr="005E77F6" w14:paraId="069C1EB6" w14:textId="77777777" w:rsidTr="00061E8F">
        <w:trPr>
          <w:trHeight w:val="340"/>
        </w:trPr>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A742F" w14:textId="4395CFCF" w:rsidR="0011023C" w:rsidRPr="005E77F6" w:rsidRDefault="0011023C" w:rsidP="0046613C">
            <w:pPr>
              <w:widowControl w:val="0"/>
              <w:tabs>
                <w:tab w:val="left" w:pos="4020"/>
              </w:tabs>
              <w:spacing w:after="0" w:line="240" w:lineRule="auto"/>
              <w:ind w:firstLine="600"/>
              <w:rPr>
                <w:rFonts w:ascii="Times New Roman" w:hAnsi="Times New Roman" w:cs="Times New Roman"/>
                <w:sz w:val="24"/>
                <w:szCs w:val="24"/>
              </w:rPr>
            </w:pPr>
            <w:r w:rsidRPr="005E77F6">
              <w:rPr>
                <w:rFonts w:ascii="Times New Roman" w:hAnsi="Times New Roman" w:cs="Times New Roman"/>
                <w:sz w:val="24"/>
                <w:szCs w:val="24"/>
              </w:rPr>
              <w:t xml:space="preserve">Brokerage: </w:t>
            </w:r>
            <w:r w:rsidR="0046613C">
              <w:rPr>
                <w:rFonts w:ascii="Times New Roman" w:hAnsi="Times New Roman" w:cs="Times New Roman"/>
                <w:sz w:val="24"/>
                <w:szCs w:val="24"/>
                <w:u w:val="single"/>
              </w:rPr>
              <w:tab/>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14:paraId="49882263" w14:textId="34F099ED" w:rsidR="0011023C" w:rsidRPr="005E77F6" w:rsidRDefault="0011023C" w:rsidP="0046613C">
            <w:pPr>
              <w:widowControl w:val="0"/>
              <w:tabs>
                <w:tab w:val="left" w:pos="3940"/>
              </w:tabs>
              <w:spacing w:after="0" w:line="240" w:lineRule="auto"/>
              <w:ind w:firstLine="520"/>
              <w:rPr>
                <w:rFonts w:ascii="Times New Roman" w:hAnsi="Times New Roman" w:cs="Times New Roman"/>
                <w:sz w:val="24"/>
                <w:szCs w:val="24"/>
              </w:rPr>
            </w:pPr>
            <w:r w:rsidRPr="005E77F6">
              <w:rPr>
                <w:rFonts w:ascii="Times New Roman" w:hAnsi="Times New Roman" w:cs="Times New Roman"/>
                <w:sz w:val="24"/>
                <w:szCs w:val="24"/>
              </w:rPr>
              <w:t xml:space="preserve">Brokerage: </w:t>
            </w:r>
            <w:r w:rsidR="0046613C">
              <w:rPr>
                <w:rFonts w:ascii="Times New Roman" w:hAnsi="Times New Roman" w:cs="Times New Roman"/>
                <w:sz w:val="24"/>
                <w:szCs w:val="24"/>
                <w:u w:val="single"/>
              </w:rPr>
              <w:tab/>
            </w:r>
          </w:p>
        </w:tc>
      </w:tr>
      <w:tr w:rsidR="0011023C" w:rsidRPr="005E77F6" w14:paraId="33D7C532" w14:textId="77777777" w:rsidTr="00061E8F">
        <w:trPr>
          <w:trHeight w:val="340"/>
        </w:trPr>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2F16D" w14:textId="1AF7BF5F" w:rsidR="0011023C" w:rsidRPr="005E77F6" w:rsidRDefault="0011023C" w:rsidP="0046613C">
            <w:pPr>
              <w:widowControl w:val="0"/>
              <w:tabs>
                <w:tab w:val="left" w:pos="4020"/>
              </w:tabs>
              <w:spacing w:after="0" w:line="240" w:lineRule="auto"/>
              <w:ind w:firstLine="600"/>
              <w:rPr>
                <w:rFonts w:ascii="Times New Roman" w:hAnsi="Times New Roman" w:cs="Times New Roman"/>
                <w:sz w:val="24"/>
                <w:szCs w:val="24"/>
              </w:rPr>
            </w:pPr>
            <w:r w:rsidRPr="005E77F6">
              <w:rPr>
                <w:rFonts w:ascii="Times New Roman" w:hAnsi="Times New Roman" w:cs="Times New Roman"/>
                <w:sz w:val="24"/>
                <w:szCs w:val="24"/>
              </w:rPr>
              <w:t xml:space="preserve">MA </w:t>
            </w:r>
            <w:proofErr w:type="spellStart"/>
            <w:r w:rsidRPr="005E77F6">
              <w:rPr>
                <w:rFonts w:ascii="Times New Roman" w:hAnsi="Times New Roman" w:cs="Times New Roman"/>
                <w:sz w:val="24"/>
                <w:szCs w:val="24"/>
              </w:rPr>
              <w:t>Lic</w:t>
            </w:r>
            <w:proofErr w:type="spellEnd"/>
            <w:r w:rsidRPr="005E77F6">
              <w:rPr>
                <w:rFonts w:ascii="Times New Roman" w:hAnsi="Times New Roman" w:cs="Times New Roman"/>
                <w:sz w:val="24"/>
                <w:szCs w:val="24"/>
              </w:rPr>
              <w:t xml:space="preserve">. No. </w:t>
            </w:r>
            <w:r w:rsidR="0046613C">
              <w:rPr>
                <w:rFonts w:ascii="Times New Roman" w:hAnsi="Times New Roman" w:cs="Times New Roman"/>
                <w:sz w:val="24"/>
                <w:szCs w:val="24"/>
                <w:u w:val="single"/>
              </w:rPr>
              <w:tab/>
            </w:r>
          </w:p>
        </w:tc>
        <w:tc>
          <w:tcPr>
            <w:tcW w:w="4490" w:type="dxa"/>
            <w:tcBorders>
              <w:top w:val="nil"/>
              <w:left w:val="nil"/>
              <w:bottom w:val="single" w:sz="8" w:space="0" w:color="auto"/>
              <w:right w:val="single" w:sz="8" w:space="0" w:color="auto"/>
            </w:tcBorders>
            <w:tcMar>
              <w:top w:w="0" w:type="dxa"/>
              <w:left w:w="108" w:type="dxa"/>
              <w:bottom w:w="0" w:type="dxa"/>
              <w:right w:w="108" w:type="dxa"/>
            </w:tcMar>
            <w:hideMark/>
          </w:tcPr>
          <w:p w14:paraId="3F04BD1D" w14:textId="012321BC" w:rsidR="0011023C" w:rsidRPr="005E77F6" w:rsidRDefault="0011023C" w:rsidP="0046613C">
            <w:pPr>
              <w:widowControl w:val="0"/>
              <w:tabs>
                <w:tab w:val="left" w:pos="3940"/>
              </w:tabs>
              <w:spacing w:after="0" w:line="240" w:lineRule="auto"/>
              <w:ind w:firstLine="520"/>
              <w:rPr>
                <w:rFonts w:ascii="Times New Roman" w:hAnsi="Times New Roman" w:cs="Times New Roman"/>
                <w:sz w:val="24"/>
                <w:szCs w:val="24"/>
              </w:rPr>
            </w:pPr>
            <w:r w:rsidRPr="005E77F6">
              <w:rPr>
                <w:rFonts w:ascii="Times New Roman" w:hAnsi="Times New Roman" w:cs="Times New Roman"/>
                <w:sz w:val="24"/>
                <w:szCs w:val="24"/>
              </w:rPr>
              <w:t xml:space="preserve">MA </w:t>
            </w:r>
            <w:proofErr w:type="spellStart"/>
            <w:r w:rsidRPr="005E77F6">
              <w:rPr>
                <w:rFonts w:ascii="Times New Roman" w:hAnsi="Times New Roman" w:cs="Times New Roman"/>
                <w:sz w:val="24"/>
                <w:szCs w:val="24"/>
              </w:rPr>
              <w:t>Lic</w:t>
            </w:r>
            <w:proofErr w:type="spellEnd"/>
            <w:r w:rsidRPr="005E77F6">
              <w:rPr>
                <w:rFonts w:ascii="Times New Roman" w:hAnsi="Times New Roman" w:cs="Times New Roman"/>
                <w:sz w:val="24"/>
                <w:szCs w:val="24"/>
              </w:rPr>
              <w:t xml:space="preserve">. No. </w:t>
            </w:r>
            <w:r w:rsidR="0046613C">
              <w:rPr>
                <w:rFonts w:ascii="Times New Roman" w:hAnsi="Times New Roman" w:cs="Times New Roman"/>
                <w:sz w:val="24"/>
                <w:szCs w:val="24"/>
                <w:u w:val="single"/>
              </w:rPr>
              <w:tab/>
            </w:r>
          </w:p>
        </w:tc>
      </w:tr>
    </w:tbl>
    <w:p w14:paraId="77B4E9D3" w14:textId="77777777" w:rsidR="0011023C" w:rsidRDefault="0011023C" w:rsidP="0011023C">
      <w:pPr>
        <w:widowControl w:val="0"/>
        <w:spacing w:after="0" w:line="240" w:lineRule="auto"/>
        <w:ind w:firstLine="720"/>
        <w:jc w:val="both"/>
        <w:rPr>
          <w:rFonts w:ascii="Times New Roman" w:hAnsi="Times New Roman" w:cs="Times New Roman"/>
          <w:sz w:val="24"/>
          <w:szCs w:val="24"/>
        </w:rPr>
      </w:pPr>
    </w:p>
    <w:p w14:paraId="727B3B9C" w14:textId="77777777" w:rsidR="0011023C" w:rsidRDefault="0011023C" w:rsidP="0011023C">
      <w:pPr>
        <w:widowControl w:val="0"/>
        <w:spacing w:after="0" w:line="240" w:lineRule="auto"/>
        <w:ind w:firstLine="720"/>
        <w:jc w:val="both"/>
        <w:rPr>
          <w:rFonts w:ascii="Times New Roman" w:hAnsi="Times New Roman" w:cs="Times New Roman"/>
          <w:sz w:val="24"/>
          <w:szCs w:val="24"/>
        </w:rPr>
      </w:pPr>
      <w:r w:rsidRPr="00303AFF">
        <w:rPr>
          <w:rFonts w:ascii="Times New Roman" w:hAnsi="Times New Roman" w:cs="Times New Roman"/>
          <w:sz w:val="24"/>
          <w:szCs w:val="24"/>
        </w:rPr>
        <w:t>The Listing Broker (Company)/Agent and the B</w:t>
      </w:r>
      <w:r>
        <w:rPr>
          <w:rFonts w:ascii="Times New Roman" w:hAnsi="Times New Roman" w:cs="Times New Roman"/>
          <w:sz w:val="24"/>
          <w:szCs w:val="24"/>
        </w:rPr>
        <w:t>uyer</w:t>
      </w:r>
      <w:r w:rsidRPr="00303AFF">
        <w:rPr>
          <w:rFonts w:ascii="Times New Roman" w:hAnsi="Times New Roman" w:cs="Times New Roman"/>
          <w:sz w:val="24"/>
          <w:szCs w:val="24"/>
        </w:rPr>
        <w:t>’s Broker (Company)/Agent shall each provide to the closing attorney within a reasonable amount of time prior to the Closing a commission statement together with the name, address, phone number, email, Agent State License ID number and Brokerage State License ID number.</w:t>
      </w:r>
    </w:p>
    <w:p w14:paraId="7CAAC887" w14:textId="77777777" w:rsidR="0011023C" w:rsidRPr="00061E8F" w:rsidRDefault="0011023C" w:rsidP="0011023C">
      <w:pPr>
        <w:widowControl w:val="0"/>
        <w:spacing w:after="0" w:line="240" w:lineRule="auto"/>
        <w:ind w:firstLine="720"/>
        <w:jc w:val="both"/>
        <w:rPr>
          <w:rFonts w:ascii="Times New Roman" w:hAnsi="Times New Roman" w:cs="Times New Roman"/>
          <w:sz w:val="28"/>
          <w:szCs w:val="28"/>
        </w:rPr>
      </w:pPr>
    </w:p>
    <w:p w14:paraId="3EDBE2CC" w14:textId="77777777" w:rsidR="0011023C" w:rsidRPr="00B2539C" w:rsidRDefault="0011023C" w:rsidP="0011023C">
      <w:pPr>
        <w:spacing w:after="0" w:line="240" w:lineRule="auto"/>
        <w:ind w:firstLine="720"/>
        <w:jc w:val="both"/>
        <w:rPr>
          <w:rFonts w:ascii="Times New Roman" w:hAnsi="Times New Roman" w:cs="Times New Roman"/>
          <w:b/>
          <w:bCs/>
          <w:sz w:val="24"/>
          <w:szCs w:val="24"/>
          <w:u w:val="single"/>
        </w:rPr>
      </w:pPr>
      <w:r w:rsidRPr="00B2539C">
        <w:rPr>
          <w:rFonts w:ascii="Times New Roman" w:hAnsi="Times New Roman" w:cs="Times New Roman"/>
          <w:b/>
          <w:bCs/>
          <w:sz w:val="24"/>
          <w:szCs w:val="24"/>
          <w:u w:val="single"/>
        </w:rPr>
        <w:t>Listing Broker (Company)/Agent’s Commission:</w:t>
      </w:r>
    </w:p>
    <w:p w14:paraId="14987A6A" w14:textId="77777777" w:rsidR="0011023C" w:rsidRPr="00B2539C" w:rsidRDefault="0011023C" w:rsidP="0011023C">
      <w:pPr>
        <w:spacing w:after="0" w:line="240" w:lineRule="auto"/>
        <w:ind w:firstLine="720"/>
        <w:jc w:val="both"/>
        <w:rPr>
          <w:rFonts w:ascii="Times New Roman" w:hAnsi="Times New Roman" w:cs="Times New Roman"/>
          <w:b/>
          <w:bCs/>
          <w:sz w:val="24"/>
          <w:szCs w:val="24"/>
          <w:u w:val="single"/>
        </w:rPr>
      </w:pPr>
    </w:p>
    <w:p w14:paraId="389CE0DE" w14:textId="5D38F304" w:rsidR="0011023C" w:rsidRDefault="0011023C" w:rsidP="001102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commission in the amount of $</w:t>
      </w:r>
      <w:r w:rsidRPr="00303AFF">
        <w:rPr>
          <w:rFonts w:ascii="Times New Roman" w:hAnsi="Times New Roman" w:cs="Times New Roman"/>
          <w:sz w:val="24"/>
          <w:szCs w:val="24"/>
        </w:rPr>
        <w:t>____________</w:t>
      </w:r>
      <w:r>
        <w:rPr>
          <w:rFonts w:ascii="Times New Roman" w:hAnsi="Times New Roman" w:cs="Times New Roman"/>
          <w:sz w:val="24"/>
          <w:szCs w:val="24"/>
        </w:rPr>
        <w:t>_____</w:t>
      </w:r>
      <w:r w:rsidRPr="00303AFF">
        <w:rPr>
          <w:rFonts w:ascii="Times New Roman" w:hAnsi="Times New Roman" w:cs="Times New Roman"/>
          <w:sz w:val="24"/>
          <w:szCs w:val="24"/>
        </w:rPr>
        <w:t>______ is due from SELLER to ____________________, being the Listing Broker (Company)/Agent</w:t>
      </w:r>
      <w:r>
        <w:rPr>
          <w:rFonts w:ascii="Times New Roman" w:hAnsi="Times New Roman" w:cs="Times New Roman"/>
          <w:sz w:val="24"/>
          <w:szCs w:val="24"/>
        </w:rPr>
        <w:t>, payable only upon the recording of the deed to the BUYER with the Registry of Deeds and payment of all monies due the SELLER, but not otherwise.</w:t>
      </w:r>
      <w:r w:rsidRPr="00303AFF">
        <w:rPr>
          <w:rFonts w:ascii="Times New Roman" w:hAnsi="Times New Roman" w:cs="Times New Roman"/>
          <w:sz w:val="24"/>
          <w:szCs w:val="24"/>
        </w:rPr>
        <w:t xml:space="preserve">  </w:t>
      </w:r>
    </w:p>
    <w:p w14:paraId="756B6C80" w14:textId="77777777" w:rsidR="0011023C" w:rsidRPr="00061E8F" w:rsidRDefault="0011023C" w:rsidP="0011023C">
      <w:pPr>
        <w:spacing w:after="0" w:line="240" w:lineRule="auto"/>
        <w:ind w:firstLine="720"/>
        <w:jc w:val="both"/>
        <w:rPr>
          <w:rFonts w:ascii="Times New Roman" w:hAnsi="Times New Roman" w:cs="Times New Roman"/>
          <w:sz w:val="28"/>
          <w:szCs w:val="28"/>
        </w:rPr>
      </w:pPr>
    </w:p>
    <w:p w14:paraId="352E721F" w14:textId="77777777" w:rsidR="0011023C" w:rsidRPr="00B2539C" w:rsidRDefault="0011023C" w:rsidP="0011023C">
      <w:pPr>
        <w:spacing w:after="0" w:line="240" w:lineRule="auto"/>
        <w:ind w:firstLine="720"/>
        <w:jc w:val="both"/>
        <w:rPr>
          <w:rFonts w:ascii="Times New Roman" w:hAnsi="Times New Roman" w:cs="Times New Roman"/>
          <w:b/>
          <w:bCs/>
          <w:sz w:val="24"/>
          <w:szCs w:val="24"/>
          <w:u w:val="single"/>
        </w:rPr>
      </w:pPr>
      <w:r w:rsidRPr="00B2539C">
        <w:rPr>
          <w:rFonts w:ascii="Times New Roman" w:hAnsi="Times New Roman" w:cs="Times New Roman"/>
          <w:b/>
          <w:bCs/>
          <w:sz w:val="24"/>
          <w:szCs w:val="24"/>
          <w:u w:val="single"/>
        </w:rPr>
        <w:t>Buyer’s Broker (Company)/Agent’s Commission:</w:t>
      </w:r>
    </w:p>
    <w:p w14:paraId="51DCE069" w14:textId="77777777" w:rsidR="0011023C" w:rsidRPr="008349D6" w:rsidRDefault="0011023C" w:rsidP="0011023C">
      <w:pPr>
        <w:spacing w:after="0" w:line="240" w:lineRule="auto"/>
        <w:ind w:firstLine="720"/>
        <w:jc w:val="both"/>
        <w:rPr>
          <w:rFonts w:ascii="Times New Roman" w:hAnsi="Times New Roman" w:cs="Times New Roman"/>
          <w:sz w:val="24"/>
          <w:szCs w:val="24"/>
          <w:u w:val="single"/>
        </w:rPr>
      </w:pPr>
    </w:p>
    <w:p w14:paraId="2199EB1F" w14:textId="77777777" w:rsidR="0011023C" w:rsidRDefault="0011023C" w:rsidP="001102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commission in the amount of $_____________________ is due to ___________________, being the BUYER’s Broker (Company/Agent), payable upon the recording of the deed to the BUYER with the Registry of Deeds and payment of all monies due the SELLER, but not otherwise, and is due from the following:</w:t>
      </w:r>
    </w:p>
    <w:p w14:paraId="28DDC8F9" w14:textId="77777777" w:rsidR="0011023C" w:rsidRDefault="0011023C" w:rsidP="0011023C">
      <w:pPr>
        <w:spacing w:after="0" w:line="240" w:lineRule="auto"/>
        <w:ind w:firstLine="720"/>
        <w:jc w:val="both"/>
        <w:rPr>
          <w:rFonts w:ascii="Times New Roman" w:hAnsi="Times New Roman" w:cs="Times New Roman"/>
          <w:sz w:val="24"/>
          <w:szCs w:val="24"/>
        </w:rPr>
      </w:pPr>
    </w:p>
    <w:p w14:paraId="5F73C196" w14:textId="77777777" w:rsidR="0011023C" w:rsidRDefault="0011023C" w:rsidP="0011023C">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amount of $________________________ i</w:t>
      </w:r>
      <w:r w:rsidRPr="00303AFF">
        <w:rPr>
          <w:rFonts w:ascii="Times New Roman" w:hAnsi="Times New Roman" w:cs="Times New Roman"/>
          <w:sz w:val="24"/>
          <w:szCs w:val="24"/>
        </w:rPr>
        <w:t xml:space="preserve">s due from </w:t>
      </w:r>
      <w:r>
        <w:rPr>
          <w:rFonts w:ascii="Times New Roman" w:hAnsi="Times New Roman" w:cs="Times New Roman"/>
          <w:sz w:val="24"/>
          <w:szCs w:val="24"/>
        </w:rPr>
        <w:t>BUYER t</w:t>
      </w:r>
      <w:r w:rsidRPr="00303AFF">
        <w:rPr>
          <w:rFonts w:ascii="Times New Roman" w:hAnsi="Times New Roman" w:cs="Times New Roman"/>
          <w:sz w:val="24"/>
          <w:szCs w:val="24"/>
        </w:rPr>
        <w:t xml:space="preserve">o ____________________, </w:t>
      </w:r>
      <w:r>
        <w:rPr>
          <w:rFonts w:ascii="Times New Roman" w:hAnsi="Times New Roman" w:cs="Times New Roman"/>
          <w:sz w:val="24"/>
          <w:szCs w:val="24"/>
        </w:rPr>
        <w:t xml:space="preserve">being the BUYER’s </w:t>
      </w:r>
      <w:r w:rsidRPr="00303AFF">
        <w:rPr>
          <w:rFonts w:ascii="Times New Roman" w:hAnsi="Times New Roman" w:cs="Times New Roman"/>
          <w:sz w:val="24"/>
          <w:szCs w:val="24"/>
        </w:rPr>
        <w:t>Broker (Company)</w:t>
      </w:r>
      <w:r>
        <w:rPr>
          <w:rFonts w:ascii="Times New Roman" w:hAnsi="Times New Roman" w:cs="Times New Roman"/>
          <w:sz w:val="24"/>
          <w:szCs w:val="24"/>
        </w:rPr>
        <w:t xml:space="preserve">/Agent. </w:t>
      </w:r>
      <w:r w:rsidRPr="00303AFF">
        <w:rPr>
          <w:rFonts w:ascii="Times New Roman" w:hAnsi="Times New Roman" w:cs="Times New Roman"/>
          <w:sz w:val="24"/>
          <w:szCs w:val="24"/>
        </w:rPr>
        <w:t xml:space="preserve">  </w:t>
      </w:r>
    </w:p>
    <w:p w14:paraId="76D67C1E" w14:textId="77777777" w:rsidR="0011023C" w:rsidRDefault="0011023C" w:rsidP="0011023C">
      <w:pPr>
        <w:spacing w:after="0" w:line="240" w:lineRule="auto"/>
        <w:ind w:left="720" w:firstLine="720"/>
        <w:jc w:val="both"/>
        <w:rPr>
          <w:rFonts w:ascii="Times New Roman" w:hAnsi="Times New Roman" w:cs="Times New Roman"/>
          <w:sz w:val="24"/>
          <w:szCs w:val="24"/>
        </w:rPr>
      </w:pPr>
    </w:p>
    <w:p w14:paraId="1D6488EE" w14:textId="77777777" w:rsidR="0011023C" w:rsidRDefault="0011023C" w:rsidP="0011023C">
      <w:pPr>
        <w:spacing w:after="0" w:line="240" w:lineRule="auto"/>
        <w:ind w:left="720" w:firstLine="720"/>
        <w:jc w:val="both"/>
        <w:rPr>
          <w:rFonts w:ascii="Times New Roman" w:hAnsi="Times New Roman" w:cs="Times New Roman"/>
          <w:iCs/>
          <w:sz w:val="24"/>
          <w:szCs w:val="24"/>
        </w:rPr>
      </w:pPr>
      <w:r>
        <w:rPr>
          <w:rFonts w:ascii="Times New Roman" w:hAnsi="Times New Roman" w:cs="Times New Roman"/>
          <w:sz w:val="24"/>
          <w:szCs w:val="24"/>
        </w:rPr>
        <w:t>B.</w:t>
      </w:r>
      <w:r>
        <w:rPr>
          <w:rFonts w:ascii="Times New Roman" w:hAnsi="Times New Roman" w:cs="Times New Roman"/>
          <w:sz w:val="24"/>
          <w:szCs w:val="24"/>
        </w:rPr>
        <w:tab/>
        <w:t>The amount of $________________________ i</w:t>
      </w:r>
      <w:r w:rsidRPr="00303AFF">
        <w:rPr>
          <w:rFonts w:ascii="Times New Roman" w:hAnsi="Times New Roman" w:cs="Times New Roman"/>
          <w:sz w:val="24"/>
          <w:szCs w:val="24"/>
        </w:rPr>
        <w:t xml:space="preserve">s due from </w:t>
      </w:r>
      <w:r>
        <w:rPr>
          <w:rFonts w:ascii="Times New Roman" w:hAnsi="Times New Roman" w:cs="Times New Roman"/>
          <w:sz w:val="24"/>
          <w:szCs w:val="24"/>
        </w:rPr>
        <w:t>SELLER to ______________________</w:t>
      </w:r>
      <w:r w:rsidRPr="00303AFF">
        <w:rPr>
          <w:rFonts w:ascii="Times New Roman" w:hAnsi="Times New Roman" w:cs="Times New Roman"/>
          <w:sz w:val="24"/>
          <w:szCs w:val="24"/>
        </w:rPr>
        <w:t xml:space="preserve">, </w:t>
      </w:r>
      <w:r>
        <w:rPr>
          <w:rFonts w:ascii="Times New Roman" w:hAnsi="Times New Roman" w:cs="Times New Roman"/>
          <w:sz w:val="24"/>
          <w:szCs w:val="24"/>
        </w:rPr>
        <w:t xml:space="preserve">being the BUYER’s </w:t>
      </w:r>
      <w:r w:rsidRPr="00303AFF">
        <w:rPr>
          <w:rFonts w:ascii="Times New Roman" w:hAnsi="Times New Roman" w:cs="Times New Roman"/>
          <w:sz w:val="24"/>
          <w:szCs w:val="24"/>
        </w:rPr>
        <w:t>Broker (Company)</w:t>
      </w:r>
      <w:r>
        <w:rPr>
          <w:rFonts w:ascii="Times New Roman" w:hAnsi="Times New Roman" w:cs="Times New Roman"/>
          <w:sz w:val="24"/>
          <w:szCs w:val="24"/>
        </w:rPr>
        <w:t xml:space="preserve">/Agent, which </w:t>
      </w:r>
      <w:r w:rsidRPr="00B07A3A">
        <w:rPr>
          <w:rFonts w:ascii="Times New Roman" w:hAnsi="Times New Roman" w:cs="Times New Roman"/>
          <w:iCs/>
          <w:sz w:val="24"/>
          <w:szCs w:val="24"/>
        </w:rPr>
        <w:t>S</w:t>
      </w:r>
      <w:r>
        <w:rPr>
          <w:rFonts w:ascii="Times New Roman" w:hAnsi="Times New Roman" w:cs="Times New Roman"/>
          <w:iCs/>
          <w:sz w:val="24"/>
          <w:szCs w:val="24"/>
        </w:rPr>
        <w:t xml:space="preserve">ELLER </w:t>
      </w:r>
      <w:r w:rsidRPr="00B07A3A">
        <w:rPr>
          <w:rFonts w:ascii="Times New Roman" w:hAnsi="Times New Roman" w:cs="Times New Roman"/>
          <w:iCs/>
          <w:sz w:val="24"/>
          <w:szCs w:val="24"/>
        </w:rPr>
        <w:t>agree</w:t>
      </w:r>
      <w:r>
        <w:rPr>
          <w:rFonts w:ascii="Times New Roman" w:hAnsi="Times New Roman" w:cs="Times New Roman"/>
          <w:iCs/>
          <w:sz w:val="24"/>
          <w:szCs w:val="24"/>
        </w:rPr>
        <w:t xml:space="preserve">s and </w:t>
      </w:r>
      <w:r w:rsidRPr="00B07A3A">
        <w:rPr>
          <w:rFonts w:ascii="Times New Roman" w:hAnsi="Times New Roman" w:cs="Times New Roman"/>
          <w:iCs/>
          <w:sz w:val="24"/>
          <w:szCs w:val="24"/>
        </w:rPr>
        <w:t>direct</w:t>
      </w:r>
      <w:r>
        <w:rPr>
          <w:rFonts w:ascii="Times New Roman" w:hAnsi="Times New Roman" w:cs="Times New Roman"/>
          <w:iCs/>
          <w:sz w:val="24"/>
          <w:szCs w:val="24"/>
        </w:rPr>
        <w:t>s shall be paid by the Listing Broker (Company)/Agent</w:t>
      </w:r>
      <w:r w:rsidRPr="00B07A3A">
        <w:rPr>
          <w:rFonts w:ascii="Times New Roman" w:hAnsi="Times New Roman" w:cs="Times New Roman"/>
          <w:iCs/>
          <w:sz w:val="24"/>
          <w:szCs w:val="24"/>
        </w:rPr>
        <w:t xml:space="preserve"> from funds held </w:t>
      </w:r>
      <w:r>
        <w:rPr>
          <w:rFonts w:ascii="Times New Roman" w:hAnsi="Times New Roman" w:cs="Times New Roman"/>
          <w:iCs/>
          <w:sz w:val="24"/>
          <w:szCs w:val="24"/>
        </w:rPr>
        <w:t>in escrow.</w:t>
      </w:r>
    </w:p>
    <w:p w14:paraId="34E5DA05" w14:textId="77777777" w:rsidR="0011023C" w:rsidRDefault="0011023C" w:rsidP="0011023C">
      <w:pPr>
        <w:spacing w:after="0" w:line="240" w:lineRule="auto"/>
        <w:ind w:left="720" w:firstLine="720"/>
        <w:jc w:val="both"/>
        <w:rPr>
          <w:rFonts w:ascii="Times New Roman" w:hAnsi="Times New Roman" w:cs="Times New Roman"/>
          <w:iCs/>
          <w:sz w:val="24"/>
          <w:szCs w:val="24"/>
        </w:rPr>
      </w:pPr>
    </w:p>
    <w:p w14:paraId="70E9B733" w14:textId="77777777" w:rsidR="0011023C" w:rsidRDefault="0011023C" w:rsidP="0011023C">
      <w:pPr>
        <w:spacing w:after="0" w:line="240" w:lineRule="auto"/>
        <w:ind w:firstLine="720"/>
        <w:jc w:val="both"/>
        <w:rPr>
          <w:rFonts w:ascii="Times New Roman" w:hAnsi="Times New Roman" w:cs="Times New Roman"/>
          <w:iCs/>
          <w:sz w:val="24"/>
          <w:szCs w:val="24"/>
        </w:rPr>
      </w:pPr>
      <w:r w:rsidRPr="008349D6">
        <w:rPr>
          <w:rFonts w:ascii="Times New Roman" w:hAnsi="Times New Roman" w:cs="Times New Roman"/>
          <w:b/>
          <w:bCs/>
          <w:iCs/>
          <w:sz w:val="24"/>
          <w:szCs w:val="24"/>
          <w:u w:val="single"/>
        </w:rPr>
        <w:lastRenderedPageBreak/>
        <w:t>Direction to Escrow Agent:</w:t>
      </w:r>
      <w:r>
        <w:rPr>
          <w:rFonts w:ascii="Times New Roman" w:hAnsi="Times New Roman" w:cs="Times New Roman"/>
          <w:iCs/>
          <w:sz w:val="24"/>
          <w:szCs w:val="24"/>
        </w:rPr>
        <w:t xml:space="preserve"> </w:t>
      </w:r>
      <w:r w:rsidRPr="00983751">
        <w:rPr>
          <w:rFonts w:ascii="Times New Roman" w:hAnsi="Times New Roman" w:cs="Times New Roman"/>
          <w:iCs/>
          <w:sz w:val="24"/>
          <w:szCs w:val="24"/>
        </w:rPr>
        <w:t>The Escrow Agent holding the Deposit</w:t>
      </w:r>
      <w:r>
        <w:rPr>
          <w:rFonts w:ascii="Times New Roman" w:hAnsi="Times New Roman" w:cs="Times New Roman"/>
          <w:iCs/>
          <w:sz w:val="24"/>
          <w:szCs w:val="24"/>
        </w:rPr>
        <w:t xml:space="preserve"> as set forth</w:t>
      </w:r>
      <w:r w:rsidRPr="00983751">
        <w:rPr>
          <w:rFonts w:ascii="Times New Roman" w:hAnsi="Times New Roman" w:cs="Times New Roman"/>
          <w:iCs/>
          <w:sz w:val="24"/>
          <w:szCs w:val="24"/>
        </w:rPr>
        <w:t xml:space="preserve"> in this Agreement is responsible for disbursing funds in compliance with the terms of this Agreement.  </w:t>
      </w:r>
      <w:r>
        <w:rPr>
          <w:rFonts w:ascii="Times New Roman" w:hAnsi="Times New Roman" w:cs="Times New Roman"/>
          <w:sz w:val="24"/>
          <w:szCs w:val="24"/>
        </w:rPr>
        <w:t xml:space="preserve">Upon the recording of the deed to the BUYER with the Registry of Deeds and payment of all monies due the SELLER, </w:t>
      </w:r>
      <w:r w:rsidRPr="00983751">
        <w:rPr>
          <w:rFonts w:ascii="Times New Roman" w:hAnsi="Times New Roman" w:cs="Times New Roman"/>
          <w:iCs/>
          <w:sz w:val="24"/>
          <w:szCs w:val="24"/>
        </w:rPr>
        <w:t xml:space="preserve">the Escrow Agent shall disburse funds as </w:t>
      </w:r>
      <w:r>
        <w:rPr>
          <w:rFonts w:ascii="Times New Roman" w:hAnsi="Times New Roman" w:cs="Times New Roman"/>
          <w:iCs/>
          <w:sz w:val="24"/>
          <w:szCs w:val="24"/>
        </w:rPr>
        <w:t xml:space="preserve">set forth above </w:t>
      </w:r>
      <w:r w:rsidRPr="00C87787">
        <w:rPr>
          <w:rFonts w:ascii="Times New Roman" w:hAnsi="Times New Roman" w:cs="Times New Roman"/>
          <w:iCs/>
          <w:sz w:val="24"/>
          <w:szCs w:val="24"/>
        </w:rPr>
        <w:t xml:space="preserve">and the Escrow Agent shall disburse the balance of the deposit, if any, to the SELLER as excess deposit.  </w:t>
      </w:r>
      <w:r>
        <w:rPr>
          <w:rFonts w:ascii="Times New Roman" w:hAnsi="Times New Roman" w:cs="Times New Roman"/>
          <w:iCs/>
          <w:sz w:val="24"/>
          <w:szCs w:val="24"/>
        </w:rPr>
        <w:t xml:space="preserve">SELLER, </w:t>
      </w:r>
      <w:r w:rsidRPr="001838B7">
        <w:rPr>
          <w:rFonts w:ascii="Times New Roman" w:hAnsi="Times New Roman" w:cs="Times New Roman"/>
          <w:iCs/>
          <w:sz w:val="24"/>
          <w:szCs w:val="24"/>
        </w:rPr>
        <w:t>B</w:t>
      </w:r>
      <w:r>
        <w:rPr>
          <w:rFonts w:ascii="Times New Roman" w:hAnsi="Times New Roman" w:cs="Times New Roman"/>
          <w:iCs/>
          <w:sz w:val="24"/>
          <w:szCs w:val="24"/>
        </w:rPr>
        <w:t>UYER and Escrow Agent a</w:t>
      </w:r>
      <w:r w:rsidRPr="001838B7">
        <w:rPr>
          <w:rFonts w:ascii="Times New Roman" w:hAnsi="Times New Roman" w:cs="Times New Roman"/>
          <w:iCs/>
          <w:sz w:val="24"/>
          <w:szCs w:val="24"/>
        </w:rPr>
        <w:t xml:space="preserve">cknowledge that all disbursements from funds held in escrow are undertaken in </w:t>
      </w:r>
      <w:r>
        <w:rPr>
          <w:rFonts w:ascii="Times New Roman" w:hAnsi="Times New Roman" w:cs="Times New Roman"/>
          <w:iCs/>
          <w:sz w:val="24"/>
          <w:szCs w:val="24"/>
        </w:rPr>
        <w:t xml:space="preserve">the Escrow’s Agent’s </w:t>
      </w:r>
      <w:r w:rsidRPr="001838B7">
        <w:rPr>
          <w:rFonts w:ascii="Times New Roman" w:hAnsi="Times New Roman" w:cs="Times New Roman"/>
          <w:iCs/>
          <w:sz w:val="24"/>
          <w:szCs w:val="24"/>
        </w:rPr>
        <w:t xml:space="preserve">capacity as </w:t>
      </w:r>
      <w:r>
        <w:rPr>
          <w:rFonts w:ascii="Times New Roman" w:hAnsi="Times New Roman" w:cs="Times New Roman"/>
          <w:iCs/>
          <w:sz w:val="24"/>
          <w:szCs w:val="24"/>
        </w:rPr>
        <w:t>E</w:t>
      </w:r>
      <w:r w:rsidRPr="001838B7">
        <w:rPr>
          <w:rFonts w:ascii="Times New Roman" w:hAnsi="Times New Roman" w:cs="Times New Roman"/>
          <w:iCs/>
          <w:sz w:val="24"/>
          <w:szCs w:val="24"/>
        </w:rPr>
        <w:t xml:space="preserve">scrow </w:t>
      </w:r>
      <w:r>
        <w:rPr>
          <w:rFonts w:ascii="Times New Roman" w:hAnsi="Times New Roman" w:cs="Times New Roman"/>
          <w:iCs/>
          <w:sz w:val="24"/>
          <w:szCs w:val="24"/>
        </w:rPr>
        <w:t>A</w:t>
      </w:r>
      <w:r w:rsidRPr="001838B7">
        <w:rPr>
          <w:rFonts w:ascii="Times New Roman" w:hAnsi="Times New Roman" w:cs="Times New Roman"/>
          <w:iCs/>
          <w:sz w:val="24"/>
          <w:szCs w:val="24"/>
        </w:rPr>
        <w:t xml:space="preserve">gent and </w:t>
      </w:r>
      <w:r>
        <w:rPr>
          <w:rFonts w:ascii="Times New Roman" w:hAnsi="Times New Roman" w:cs="Times New Roman"/>
          <w:iCs/>
          <w:sz w:val="24"/>
          <w:szCs w:val="24"/>
        </w:rPr>
        <w:t>not otherwise.  T</w:t>
      </w:r>
      <w:r w:rsidRPr="00983751">
        <w:rPr>
          <w:rFonts w:ascii="Times New Roman" w:hAnsi="Times New Roman" w:cs="Times New Roman"/>
          <w:iCs/>
          <w:sz w:val="24"/>
          <w:szCs w:val="24"/>
        </w:rPr>
        <w:t>hese written instructions to the Escrow Agent constitute mutual, written instructions from the S</w:t>
      </w:r>
      <w:r>
        <w:rPr>
          <w:rFonts w:ascii="Times New Roman" w:hAnsi="Times New Roman" w:cs="Times New Roman"/>
          <w:iCs/>
          <w:sz w:val="24"/>
          <w:szCs w:val="24"/>
        </w:rPr>
        <w:t xml:space="preserve">ELLER and BUYER </w:t>
      </w:r>
      <w:r w:rsidRPr="00983751">
        <w:rPr>
          <w:rFonts w:ascii="Times New Roman" w:hAnsi="Times New Roman" w:cs="Times New Roman"/>
          <w:iCs/>
          <w:sz w:val="24"/>
          <w:szCs w:val="24"/>
        </w:rPr>
        <w:t xml:space="preserve">to the Escrow Agent and supersedes any office policy of the Escrow Agent to the contrary. </w:t>
      </w:r>
    </w:p>
    <w:p w14:paraId="51260102" w14:textId="77777777" w:rsidR="0011023C" w:rsidRPr="003A31C5" w:rsidRDefault="0011023C" w:rsidP="0011023C">
      <w:pPr>
        <w:spacing w:after="0" w:line="240" w:lineRule="auto"/>
        <w:jc w:val="both"/>
        <w:rPr>
          <w:rFonts w:ascii="Times New Roman" w:hAnsi="Times New Roman" w:cs="Times New Roman"/>
          <w:b/>
          <w:bCs/>
          <w:iCs/>
          <w:sz w:val="24"/>
          <w:szCs w:val="24"/>
        </w:rPr>
      </w:pPr>
      <w:r w:rsidRPr="003A31C5">
        <w:rPr>
          <w:rFonts w:ascii="Times New Roman" w:hAnsi="Times New Roman" w:cs="Times New Roman"/>
          <w:b/>
          <w:bCs/>
          <w:iCs/>
          <w:sz w:val="24"/>
          <w:szCs w:val="24"/>
        </w:rPr>
        <w:t xml:space="preserve">______________________________________________________________________________ </w:t>
      </w:r>
    </w:p>
    <w:p w14:paraId="3A018FB4" w14:textId="77777777" w:rsidR="0011023C" w:rsidRDefault="0011023C" w:rsidP="0011023C">
      <w:pPr>
        <w:spacing w:after="0"/>
        <w:ind w:firstLine="720"/>
        <w:jc w:val="both"/>
        <w:rPr>
          <w:rFonts w:ascii="Times New Roman" w:hAnsi="Times New Roman" w:cs="Times New Roman"/>
          <w:i/>
          <w:sz w:val="24"/>
          <w:szCs w:val="24"/>
        </w:rPr>
      </w:pPr>
    </w:p>
    <w:p w14:paraId="68F2CE65" w14:textId="4F556D61" w:rsidR="0011023C" w:rsidRDefault="0011023C" w:rsidP="0011023C">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Notes:</w:t>
      </w:r>
      <w:r>
        <w:rPr>
          <w:rFonts w:ascii="Times New Roman" w:hAnsi="Times New Roman" w:cs="Times New Roman"/>
          <w:i/>
          <w:sz w:val="24"/>
          <w:szCs w:val="24"/>
        </w:rPr>
        <w:tab/>
        <w:t>Delete and customize the above for the agreed contract terms and delete th</w:t>
      </w:r>
      <w:r w:rsidR="00B70B9C">
        <w:rPr>
          <w:rFonts w:ascii="Times New Roman" w:hAnsi="Times New Roman" w:cs="Times New Roman"/>
          <w:i/>
          <w:sz w:val="24"/>
          <w:szCs w:val="24"/>
        </w:rPr>
        <w:t xml:space="preserve">e introductory text and the </w:t>
      </w:r>
      <w:r>
        <w:rPr>
          <w:rFonts w:ascii="Times New Roman" w:hAnsi="Times New Roman" w:cs="Times New Roman"/>
          <w:i/>
          <w:sz w:val="24"/>
          <w:szCs w:val="24"/>
        </w:rPr>
        <w:t>below notes from the final Purchase and Sale Agreement or Rider.</w:t>
      </w:r>
    </w:p>
    <w:p w14:paraId="45E4E902" w14:textId="77777777" w:rsidR="0011023C" w:rsidRDefault="0011023C" w:rsidP="0011023C">
      <w:pPr>
        <w:spacing w:after="0"/>
        <w:ind w:firstLine="720"/>
        <w:jc w:val="both"/>
        <w:rPr>
          <w:rFonts w:ascii="Times New Roman" w:hAnsi="Times New Roman" w:cs="Times New Roman"/>
          <w:i/>
          <w:sz w:val="24"/>
          <w:szCs w:val="24"/>
        </w:rPr>
      </w:pPr>
    </w:p>
    <w:p w14:paraId="79CBD647" w14:textId="77777777" w:rsidR="0011023C" w:rsidRDefault="0011023C" w:rsidP="0011023C">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1.</w:t>
      </w:r>
      <w:r>
        <w:rPr>
          <w:rFonts w:ascii="Times New Roman" w:hAnsi="Times New Roman" w:cs="Times New Roman"/>
          <w:i/>
          <w:sz w:val="24"/>
          <w:szCs w:val="24"/>
        </w:rPr>
        <w:tab/>
      </w:r>
      <w:r w:rsidRPr="00303AFF">
        <w:rPr>
          <w:rFonts w:ascii="Times New Roman" w:hAnsi="Times New Roman" w:cs="Times New Roman"/>
          <w:i/>
          <w:sz w:val="24"/>
          <w:szCs w:val="24"/>
        </w:rPr>
        <w:t xml:space="preserve">The amount of </w:t>
      </w:r>
      <w:r>
        <w:rPr>
          <w:rFonts w:ascii="Times New Roman" w:hAnsi="Times New Roman" w:cs="Times New Roman"/>
          <w:i/>
          <w:sz w:val="24"/>
          <w:szCs w:val="24"/>
        </w:rPr>
        <w:t xml:space="preserve">the </w:t>
      </w:r>
      <w:r w:rsidRPr="00303AFF">
        <w:rPr>
          <w:rFonts w:ascii="Times New Roman" w:hAnsi="Times New Roman" w:cs="Times New Roman"/>
          <w:i/>
          <w:sz w:val="24"/>
          <w:szCs w:val="24"/>
        </w:rPr>
        <w:t>brokers</w:t>
      </w:r>
      <w:r>
        <w:rPr>
          <w:rFonts w:ascii="Times New Roman" w:hAnsi="Times New Roman" w:cs="Times New Roman"/>
          <w:i/>
          <w:sz w:val="24"/>
          <w:szCs w:val="24"/>
        </w:rPr>
        <w:t>’</w:t>
      </w:r>
      <w:r w:rsidRPr="00303AFF">
        <w:rPr>
          <w:rFonts w:ascii="Times New Roman" w:hAnsi="Times New Roman" w:cs="Times New Roman"/>
          <w:i/>
          <w:sz w:val="24"/>
          <w:szCs w:val="24"/>
        </w:rPr>
        <w:t xml:space="preserve"> </w:t>
      </w:r>
      <w:r>
        <w:rPr>
          <w:rFonts w:ascii="Times New Roman" w:hAnsi="Times New Roman" w:cs="Times New Roman"/>
          <w:i/>
          <w:sz w:val="24"/>
          <w:szCs w:val="24"/>
        </w:rPr>
        <w:t xml:space="preserve">commissions </w:t>
      </w:r>
      <w:r w:rsidRPr="00303AFF">
        <w:rPr>
          <w:rFonts w:ascii="Times New Roman" w:hAnsi="Times New Roman" w:cs="Times New Roman"/>
          <w:i/>
          <w:sz w:val="24"/>
          <w:szCs w:val="24"/>
        </w:rPr>
        <w:t>may be filled in as the commission percentage or the calculated dollar amount.  However, if written as a dollar amount then the amount may need to be correspondingly edited in the event of a sale price change.</w:t>
      </w:r>
    </w:p>
    <w:p w14:paraId="1BE858DB" w14:textId="77777777" w:rsidR="0011023C" w:rsidRDefault="0011023C" w:rsidP="0011023C">
      <w:pPr>
        <w:spacing w:after="0" w:line="240" w:lineRule="auto"/>
        <w:ind w:firstLine="720"/>
        <w:jc w:val="both"/>
        <w:rPr>
          <w:rFonts w:ascii="Times New Roman" w:hAnsi="Times New Roman" w:cs="Times New Roman"/>
          <w:i/>
          <w:sz w:val="24"/>
          <w:szCs w:val="24"/>
        </w:rPr>
      </w:pPr>
    </w:p>
    <w:p w14:paraId="3BA59529" w14:textId="77777777" w:rsidR="0011023C" w:rsidRPr="00061E8F" w:rsidRDefault="0011023C" w:rsidP="0011023C">
      <w:pPr>
        <w:spacing w:after="0" w:line="240" w:lineRule="auto"/>
        <w:ind w:firstLine="720"/>
        <w:jc w:val="both"/>
        <w:rPr>
          <w:rFonts w:ascii="Times New Roman" w:hAnsi="Times New Roman" w:cs="Times New Roman"/>
          <w:i/>
          <w:spacing w:val="-4"/>
          <w:sz w:val="24"/>
          <w:szCs w:val="24"/>
        </w:rPr>
      </w:pPr>
      <w:r w:rsidRPr="00061E8F">
        <w:rPr>
          <w:rFonts w:ascii="Times New Roman" w:hAnsi="Times New Roman" w:cs="Times New Roman"/>
          <w:i/>
          <w:spacing w:val="-4"/>
          <w:sz w:val="24"/>
          <w:szCs w:val="24"/>
        </w:rPr>
        <w:t>2.</w:t>
      </w:r>
      <w:r w:rsidRPr="00061E8F">
        <w:rPr>
          <w:rFonts w:ascii="Times New Roman" w:hAnsi="Times New Roman" w:cs="Times New Roman"/>
          <w:i/>
          <w:spacing w:val="-4"/>
          <w:sz w:val="24"/>
          <w:szCs w:val="24"/>
        </w:rPr>
        <w:tab/>
        <w:t>Both Sellers and Buyers could be using the services of a broker (corporate or individual) or a designated agent.  This form uses the word “broker” to mean the Seller’s and Buyer’s representative, and the form should be edited as applicable.  However, all commission payments are made to the broker (corporate or individual) and not to the agent who works for that broker.</w:t>
      </w:r>
    </w:p>
    <w:p w14:paraId="5A582A4C" w14:textId="77777777" w:rsidR="0011023C" w:rsidRDefault="0011023C" w:rsidP="0011023C">
      <w:pPr>
        <w:spacing w:after="0" w:line="240" w:lineRule="auto"/>
        <w:ind w:firstLine="720"/>
        <w:jc w:val="both"/>
        <w:rPr>
          <w:rFonts w:ascii="Times New Roman" w:hAnsi="Times New Roman" w:cs="Times New Roman"/>
          <w:i/>
          <w:sz w:val="24"/>
          <w:szCs w:val="24"/>
        </w:rPr>
      </w:pPr>
    </w:p>
    <w:p w14:paraId="035B8EBD" w14:textId="77777777" w:rsidR="0011023C" w:rsidRDefault="0011023C" w:rsidP="0011023C">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3.</w:t>
      </w:r>
      <w:r>
        <w:rPr>
          <w:rFonts w:ascii="Times New Roman" w:hAnsi="Times New Roman" w:cs="Times New Roman"/>
          <w:i/>
          <w:sz w:val="24"/>
          <w:szCs w:val="24"/>
        </w:rPr>
        <w:tab/>
        <w:t>The Buyer’s broker is paid the amount contracted between the Buyer and its broker.  Many brokers require a written fee agreement (sometimes referred to as a Buyer’s Commission Agreement or an Exclusive Buyer’s Agreement).  In Massachusetts, Buyer’s broker written fee agreements are not a requirement for MLS PIN as of the time this Advisory Report was drafted, however practice changes provided in some of the case settlement terms require their use.  None of the settlement terms prevent a Buyer or Seller from representing themselves and make it clear that a Buyer contacting a Seller’s broker can do so without an agreement provided that the Seller’s broker is working on behalf of and showing the property for the benefit of their Seller client.</w:t>
      </w:r>
    </w:p>
    <w:p w14:paraId="6A7F9610" w14:textId="77777777" w:rsidR="0011023C" w:rsidRDefault="0011023C" w:rsidP="0011023C">
      <w:pPr>
        <w:spacing w:after="0"/>
        <w:ind w:firstLine="720"/>
        <w:jc w:val="both"/>
        <w:rPr>
          <w:rFonts w:ascii="Times New Roman" w:hAnsi="Times New Roman" w:cs="Times New Roman"/>
          <w:i/>
          <w:sz w:val="24"/>
          <w:szCs w:val="24"/>
        </w:rPr>
      </w:pPr>
    </w:p>
    <w:p w14:paraId="3BACE6DD" w14:textId="77777777" w:rsidR="0011023C" w:rsidRDefault="0011023C" w:rsidP="0011023C">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4.</w:t>
      </w:r>
      <w:r>
        <w:rPr>
          <w:rFonts w:ascii="Times New Roman" w:hAnsi="Times New Roman" w:cs="Times New Roman"/>
          <w:i/>
          <w:sz w:val="24"/>
          <w:szCs w:val="24"/>
        </w:rPr>
        <w:tab/>
        <w:t xml:space="preserve">The Buyer’s broker commission may be paid in whole or in part by the Buyer and/or the Seller.  Both the </w:t>
      </w:r>
      <w:proofErr w:type="spellStart"/>
      <w:r>
        <w:rPr>
          <w:rFonts w:ascii="Times New Roman" w:hAnsi="Times New Roman" w:cs="Times New Roman"/>
          <w:i/>
          <w:sz w:val="24"/>
          <w:szCs w:val="24"/>
        </w:rPr>
        <w:t>Nosalek</w:t>
      </w:r>
      <w:proofErr w:type="spellEnd"/>
      <w:r>
        <w:rPr>
          <w:rFonts w:ascii="Times New Roman" w:hAnsi="Times New Roman" w:cs="Times New Roman"/>
          <w:i/>
          <w:sz w:val="24"/>
          <w:szCs w:val="24"/>
        </w:rPr>
        <w:t xml:space="preserve"> and NAR preliminary settlements allow the Buyer’s Offer to include a Seller concession marked for Buyer’s broker compensation that can be accepted or denied like all other Offer terms.  The breakdown of who is paying the Buyer’s broker’s commission should be clearly set forth in the P&amp;S and the above should be edited, as applicable. </w:t>
      </w:r>
    </w:p>
    <w:p w14:paraId="73217A35" w14:textId="77777777" w:rsidR="0011023C" w:rsidRDefault="0011023C" w:rsidP="0011023C">
      <w:pPr>
        <w:spacing w:after="0"/>
        <w:ind w:firstLine="720"/>
        <w:jc w:val="both"/>
        <w:rPr>
          <w:rFonts w:ascii="Times New Roman" w:hAnsi="Times New Roman" w:cs="Times New Roman"/>
          <w:i/>
          <w:sz w:val="24"/>
          <w:szCs w:val="24"/>
        </w:rPr>
      </w:pPr>
    </w:p>
    <w:p w14:paraId="665A3FDC" w14:textId="77777777" w:rsidR="0011023C" w:rsidRDefault="0011023C" w:rsidP="0011023C">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5.</w:t>
      </w:r>
      <w:r>
        <w:rPr>
          <w:rFonts w:ascii="Times New Roman" w:hAnsi="Times New Roman" w:cs="Times New Roman"/>
          <w:i/>
          <w:sz w:val="24"/>
          <w:szCs w:val="24"/>
        </w:rPr>
        <w:tab/>
        <w:t xml:space="preserve">At the time of this Advisory Report, cooperative commissions are </w:t>
      </w:r>
      <w:r w:rsidRPr="006E287E">
        <w:rPr>
          <w:rFonts w:ascii="Times New Roman" w:hAnsi="Times New Roman" w:cs="Times New Roman"/>
          <w:i/>
          <w:sz w:val="24"/>
          <w:szCs w:val="24"/>
        </w:rPr>
        <w:t xml:space="preserve">a permissible option for </w:t>
      </w:r>
      <w:r w:rsidRPr="00875D44">
        <w:rPr>
          <w:rFonts w:ascii="Times New Roman" w:hAnsi="Times New Roman" w:cs="Times New Roman"/>
          <w:i/>
          <w:iCs/>
          <w:sz w:val="24"/>
          <w:szCs w:val="24"/>
        </w:rPr>
        <w:t>Listing Broker</w:t>
      </w:r>
      <w:r>
        <w:rPr>
          <w:rFonts w:ascii="Times New Roman" w:hAnsi="Times New Roman" w:cs="Times New Roman"/>
          <w:i/>
          <w:iCs/>
          <w:sz w:val="24"/>
          <w:szCs w:val="24"/>
        </w:rPr>
        <w:t>s</w:t>
      </w:r>
      <w:r w:rsidRPr="00875D44">
        <w:rPr>
          <w:rFonts w:ascii="Times New Roman" w:hAnsi="Times New Roman" w:cs="Times New Roman"/>
          <w:i/>
          <w:iCs/>
          <w:sz w:val="24"/>
          <w:szCs w:val="24"/>
        </w:rPr>
        <w:t xml:space="preserve"> (Company)/Agent</w:t>
      </w:r>
      <w:r>
        <w:rPr>
          <w:rFonts w:ascii="Times New Roman" w:hAnsi="Times New Roman" w:cs="Times New Roman"/>
          <w:i/>
          <w:sz w:val="24"/>
          <w:szCs w:val="24"/>
        </w:rPr>
        <w:t xml:space="preserve"> to employ, and therefore a third option to pay the Buyer’s broker’s commission may be as follows:</w:t>
      </w:r>
    </w:p>
    <w:p w14:paraId="2F50B776" w14:textId="77777777" w:rsidR="0011023C" w:rsidRDefault="0011023C" w:rsidP="0011023C">
      <w:pPr>
        <w:spacing w:after="0"/>
        <w:ind w:firstLine="720"/>
        <w:jc w:val="both"/>
        <w:rPr>
          <w:rFonts w:ascii="Times New Roman" w:hAnsi="Times New Roman" w:cs="Times New Roman"/>
          <w:i/>
          <w:sz w:val="24"/>
          <w:szCs w:val="24"/>
        </w:rPr>
      </w:pPr>
    </w:p>
    <w:p w14:paraId="469AE9DB" w14:textId="77777777" w:rsidR="0011023C" w:rsidRDefault="0011023C" w:rsidP="0011023C">
      <w:pPr>
        <w:spacing w:after="0" w:line="240" w:lineRule="auto"/>
        <w:ind w:left="720" w:firstLine="720"/>
        <w:jc w:val="both"/>
        <w:rPr>
          <w:rFonts w:ascii="Times New Roman" w:hAnsi="Times New Roman" w:cs="Times New Roman"/>
          <w:i/>
          <w:iCs/>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sz w:val="24"/>
          <w:szCs w:val="24"/>
        </w:rPr>
        <w:t>The amount of $________________________ i</w:t>
      </w:r>
      <w:r w:rsidRPr="00303AFF">
        <w:rPr>
          <w:rFonts w:ascii="Times New Roman" w:hAnsi="Times New Roman" w:cs="Times New Roman"/>
          <w:sz w:val="24"/>
          <w:szCs w:val="24"/>
        </w:rPr>
        <w:t xml:space="preserve">s due from </w:t>
      </w:r>
      <w:r>
        <w:rPr>
          <w:rFonts w:ascii="Times New Roman" w:hAnsi="Times New Roman" w:cs="Times New Roman"/>
          <w:sz w:val="24"/>
          <w:szCs w:val="24"/>
        </w:rPr>
        <w:t xml:space="preserve">the </w:t>
      </w:r>
      <w:r>
        <w:rPr>
          <w:rFonts w:ascii="Times New Roman" w:hAnsi="Times New Roman" w:cs="Times New Roman"/>
          <w:iCs/>
          <w:sz w:val="24"/>
          <w:szCs w:val="24"/>
        </w:rPr>
        <w:t>Listing Broker (Company)/Agent</w:t>
      </w:r>
      <w:r>
        <w:rPr>
          <w:rFonts w:ascii="Times New Roman" w:hAnsi="Times New Roman" w:cs="Times New Roman"/>
          <w:sz w:val="24"/>
          <w:szCs w:val="24"/>
        </w:rPr>
        <w:t xml:space="preserve"> to ______________________</w:t>
      </w:r>
      <w:r w:rsidRPr="00303AFF">
        <w:rPr>
          <w:rFonts w:ascii="Times New Roman" w:hAnsi="Times New Roman" w:cs="Times New Roman"/>
          <w:sz w:val="24"/>
          <w:szCs w:val="24"/>
        </w:rPr>
        <w:t xml:space="preserve">, </w:t>
      </w:r>
      <w:r>
        <w:rPr>
          <w:rFonts w:ascii="Times New Roman" w:hAnsi="Times New Roman" w:cs="Times New Roman"/>
          <w:sz w:val="24"/>
          <w:szCs w:val="24"/>
        </w:rPr>
        <w:t xml:space="preserve">being the BUYER’s </w:t>
      </w:r>
      <w:r w:rsidRPr="00303AFF">
        <w:rPr>
          <w:rFonts w:ascii="Times New Roman" w:hAnsi="Times New Roman" w:cs="Times New Roman"/>
          <w:sz w:val="24"/>
          <w:szCs w:val="24"/>
        </w:rPr>
        <w:t>Broker (Company)</w:t>
      </w:r>
      <w:r>
        <w:rPr>
          <w:rFonts w:ascii="Times New Roman" w:hAnsi="Times New Roman" w:cs="Times New Roman"/>
          <w:sz w:val="24"/>
          <w:szCs w:val="24"/>
        </w:rPr>
        <w:t>/Agent.</w:t>
      </w:r>
      <w:r w:rsidRPr="007E47FF">
        <w:rPr>
          <w:rFonts w:ascii="Times New Roman" w:hAnsi="Times New Roman" w:cs="Times New Roman"/>
          <w:i/>
          <w:iCs/>
          <w:sz w:val="24"/>
          <w:szCs w:val="24"/>
        </w:rPr>
        <w:t xml:space="preserve">  </w:t>
      </w:r>
    </w:p>
    <w:p w14:paraId="400A550B" w14:textId="77777777" w:rsidR="0011023C" w:rsidRDefault="0011023C" w:rsidP="0011023C">
      <w:pPr>
        <w:spacing w:after="0" w:line="240" w:lineRule="auto"/>
        <w:ind w:left="720" w:firstLine="720"/>
        <w:jc w:val="both"/>
        <w:rPr>
          <w:rFonts w:ascii="Times New Roman" w:hAnsi="Times New Roman" w:cs="Times New Roman"/>
          <w:i/>
          <w:iCs/>
          <w:sz w:val="24"/>
          <w:szCs w:val="24"/>
        </w:rPr>
      </w:pPr>
    </w:p>
    <w:p w14:paraId="676D62B5" w14:textId="77777777" w:rsidR="0011023C" w:rsidRDefault="0011023C" w:rsidP="0011023C">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This option, given the current landscape, will likely become less common.  Listing brokers should take caution that it is only permissible if done correctly with supporting underlying written fee agreements, proper disclosures, not reflected in an MLS, among other requirements.</w:t>
      </w:r>
    </w:p>
    <w:p w14:paraId="6A70A02E" w14:textId="77777777" w:rsidR="0011023C" w:rsidRDefault="0011023C" w:rsidP="0011023C">
      <w:pPr>
        <w:spacing w:after="0" w:line="240" w:lineRule="auto"/>
        <w:ind w:firstLine="720"/>
        <w:jc w:val="both"/>
        <w:rPr>
          <w:rFonts w:ascii="Times New Roman" w:hAnsi="Times New Roman" w:cs="Times New Roman"/>
          <w:i/>
          <w:sz w:val="24"/>
          <w:szCs w:val="24"/>
        </w:rPr>
      </w:pPr>
    </w:p>
    <w:p w14:paraId="7DBDEA29" w14:textId="77777777" w:rsidR="0011023C" w:rsidRDefault="0011023C" w:rsidP="0011023C">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6.</w:t>
      </w:r>
      <w:r>
        <w:rPr>
          <w:rFonts w:ascii="Times New Roman" w:hAnsi="Times New Roman" w:cs="Times New Roman"/>
          <w:i/>
          <w:sz w:val="24"/>
          <w:szCs w:val="24"/>
        </w:rPr>
        <w:tab/>
        <w:t xml:space="preserve">Notwithstanding co-operative commission splits remains permissible at this time, it is noted MLS PIN has changed its practices stemming from the </w:t>
      </w:r>
      <w:proofErr w:type="spellStart"/>
      <w:r>
        <w:rPr>
          <w:rFonts w:ascii="Times New Roman" w:hAnsi="Times New Roman" w:cs="Times New Roman"/>
          <w:i/>
          <w:sz w:val="24"/>
          <w:szCs w:val="24"/>
        </w:rPr>
        <w:t>Nosalek</w:t>
      </w:r>
      <w:proofErr w:type="spellEnd"/>
      <w:r>
        <w:rPr>
          <w:rFonts w:ascii="Times New Roman" w:hAnsi="Times New Roman" w:cs="Times New Roman"/>
          <w:i/>
          <w:sz w:val="24"/>
          <w:szCs w:val="24"/>
        </w:rPr>
        <w:t xml:space="preserve"> case and any compensation listed on MLS PIN may not include a payment between brokers, although Sellers may choose to accept an offer term to pay all or a portion of the Buyer’s broker’s commission as an agreed term of the purchase and sale agreement.</w:t>
      </w:r>
    </w:p>
    <w:p w14:paraId="79CD24D9" w14:textId="77777777" w:rsidR="0011023C" w:rsidRDefault="0011023C" w:rsidP="0011023C">
      <w:pPr>
        <w:spacing w:after="0" w:line="240" w:lineRule="auto"/>
        <w:ind w:firstLine="720"/>
        <w:jc w:val="both"/>
        <w:rPr>
          <w:rFonts w:ascii="Times New Roman" w:hAnsi="Times New Roman" w:cs="Times New Roman"/>
          <w:i/>
          <w:sz w:val="24"/>
          <w:szCs w:val="24"/>
        </w:rPr>
      </w:pPr>
    </w:p>
    <w:p w14:paraId="4E0B7FB5" w14:textId="77777777" w:rsidR="0011023C" w:rsidRDefault="0011023C" w:rsidP="0011023C">
      <w:pPr>
        <w:spacing w:after="0"/>
        <w:ind w:firstLine="720"/>
        <w:jc w:val="both"/>
        <w:rPr>
          <w:rFonts w:ascii="Times New Roman" w:hAnsi="Times New Roman" w:cs="Times New Roman"/>
          <w:i/>
          <w:iCs/>
          <w:sz w:val="24"/>
          <w:szCs w:val="24"/>
        </w:rPr>
      </w:pPr>
      <w:r>
        <w:rPr>
          <w:rFonts w:ascii="Times New Roman" w:hAnsi="Times New Roman" w:cs="Times New Roman"/>
          <w:i/>
          <w:sz w:val="24"/>
          <w:szCs w:val="24"/>
        </w:rPr>
        <w:t>7.</w:t>
      </w:r>
      <w:r>
        <w:rPr>
          <w:rFonts w:ascii="Times New Roman" w:hAnsi="Times New Roman" w:cs="Times New Roman"/>
          <w:i/>
          <w:sz w:val="24"/>
          <w:szCs w:val="24"/>
        </w:rPr>
        <w:tab/>
        <w:t xml:space="preserve">The NAR preliminary settlement practice changes provide that a Buyer’s agent cannot accept a larger commission than as set forth in their written fee agreement nor can they accept additional payment from any other party than the Buyer, Seller or Seller’s </w:t>
      </w:r>
      <w:r w:rsidRPr="007E47FF">
        <w:rPr>
          <w:rFonts w:ascii="Times New Roman" w:hAnsi="Times New Roman" w:cs="Times New Roman"/>
          <w:i/>
          <w:iCs/>
          <w:sz w:val="24"/>
          <w:szCs w:val="24"/>
        </w:rPr>
        <w:t>Listing Broker (Company)/Agen</w:t>
      </w:r>
      <w:r>
        <w:rPr>
          <w:rFonts w:ascii="Times New Roman" w:hAnsi="Times New Roman" w:cs="Times New Roman"/>
          <w:i/>
          <w:iCs/>
          <w:sz w:val="24"/>
          <w:szCs w:val="24"/>
        </w:rPr>
        <w:t>t, as and if applicable</w:t>
      </w:r>
    </w:p>
    <w:p w14:paraId="2A2F2BBB" w14:textId="77777777" w:rsidR="0011023C" w:rsidRDefault="0011023C" w:rsidP="0011023C">
      <w:pPr>
        <w:spacing w:after="0" w:line="240" w:lineRule="auto"/>
        <w:ind w:firstLine="720"/>
        <w:jc w:val="both"/>
        <w:rPr>
          <w:rFonts w:ascii="Times New Roman" w:hAnsi="Times New Roman" w:cs="Times New Roman"/>
          <w:i/>
          <w:iCs/>
          <w:sz w:val="24"/>
          <w:szCs w:val="24"/>
        </w:rPr>
      </w:pPr>
    </w:p>
    <w:p w14:paraId="6EAD6AC4" w14:textId="77777777" w:rsidR="0011023C" w:rsidRDefault="0011023C" w:rsidP="0011023C">
      <w:pPr>
        <w:spacing w:after="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8.</w:t>
      </w:r>
      <w:r>
        <w:rPr>
          <w:rFonts w:ascii="Times New Roman" w:hAnsi="Times New Roman" w:cs="Times New Roman"/>
          <w:i/>
          <w:iCs/>
          <w:sz w:val="24"/>
          <w:szCs w:val="24"/>
        </w:rPr>
        <w:tab/>
        <w:t>Other parties could be acting as the Escrow Agent for the deposit, including either Seller’s or Buyer’s counsel, a title insurance company, or others.  Revise the above as applicable to identify the Escrow Agent holding the deposit.</w:t>
      </w:r>
    </w:p>
    <w:p w14:paraId="0DE5C623" w14:textId="77777777" w:rsidR="0011023C" w:rsidRPr="00DB60D0" w:rsidRDefault="0011023C" w:rsidP="0011023C">
      <w:pPr>
        <w:spacing w:after="0"/>
        <w:ind w:firstLine="720"/>
        <w:jc w:val="both"/>
        <w:rPr>
          <w:rFonts w:ascii="Times New Roman" w:hAnsi="Times New Roman" w:cs="Times New Roman"/>
          <w:i/>
          <w:iCs/>
          <w:sz w:val="24"/>
          <w:szCs w:val="24"/>
        </w:rPr>
      </w:pPr>
    </w:p>
    <w:p w14:paraId="42EED39A" w14:textId="77777777" w:rsidR="0011023C" w:rsidRPr="00A15F4E" w:rsidRDefault="0011023C" w:rsidP="0011023C">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9.</w:t>
      </w:r>
      <w:r>
        <w:rPr>
          <w:rFonts w:ascii="Times New Roman" w:hAnsi="Times New Roman" w:cs="Times New Roman"/>
          <w:i/>
          <w:sz w:val="24"/>
          <w:szCs w:val="24"/>
        </w:rPr>
        <w:tab/>
        <w:t xml:space="preserve">The Seller may direct in the purchase and sale agreement that its broker (or other Escrow Agent) shall disburse the Seller’s agreed payment (if any) to the Buyer’s broker from Seller’s funds held as escrow agent (i.e., the purchase deposit) after the closing concludes and the deed is recorded.  The case Zang v. </w:t>
      </w:r>
      <w:proofErr w:type="spellStart"/>
      <w:r>
        <w:rPr>
          <w:rFonts w:ascii="Times New Roman" w:hAnsi="Times New Roman" w:cs="Times New Roman"/>
          <w:i/>
          <w:sz w:val="24"/>
          <w:szCs w:val="24"/>
        </w:rPr>
        <w:t>Nrt</w:t>
      </w:r>
      <w:proofErr w:type="spellEnd"/>
      <w:r>
        <w:rPr>
          <w:rFonts w:ascii="Times New Roman" w:hAnsi="Times New Roman" w:cs="Times New Roman"/>
          <w:i/>
          <w:sz w:val="24"/>
          <w:szCs w:val="24"/>
        </w:rPr>
        <w:t xml:space="preserve"> New England Inc., 77 </w:t>
      </w:r>
      <w:proofErr w:type="spellStart"/>
      <w:r>
        <w:rPr>
          <w:rFonts w:ascii="Times New Roman" w:hAnsi="Times New Roman" w:cs="Times New Roman"/>
          <w:i/>
          <w:sz w:val="24"/>
          <w:szCs w:val="24"/>
        </w:rPr>
        <w:t>Mass.App.Ct</w:t>
      </w:r>
      <w:proofErr w:type="spellEnd"/>
      <w:r>
        <w:rPr>
          <w:rFonts w:ascii="Times New Roman" w:hAnsi="Times New Roman" w:cs="Times New Roman"/>
          <w:i/>
          <w:sz w:val="24"/>
          <w:szCs w:val="24"/>
        </w:rPr>
        <w:t xml:space="preserve"> 665 (2010) provides that </w:t>
      </w:r>
      <w:r w:rsidRPr="00A15F4E">
        <w:rPr>
          <w:rFonts w:ascii="Times New Roman" w:hAnsi="Times New Roman" w:cs="Times New Roman"/>
          <w:i/>
          <w:sz w:val="24"/>
          <w:szCs w:val="24"/>
        </w:rPr>
        <w:t>if a party hold</w:t>
      </w:r>
      <w:r>
        <w:rPr>
          <w:rFonts w:ascii="Times New Roman" w:hAnsi="Times New Roman" w:cs="Times New Roman"/>
          <w:i/>
          <w:sz w:val="24"/>
          <w:szCs w:val="24"/>
        </w:rPr>
        <w:t xml:space="preserve">s the deposit in </w:t>
      </w:r>
      <w:r w:rsidRPr="00A15F4E">
        <w:rPr>
          <w:rFonts w:ascii="Times New Roman" w:hAnsi="Times New Roman" w:cs="Times New Roman"/>
          <w:i/>
          <w:sz w:val="24"/>
          <w:szCs w:val="24"/>
        </w:rPr>
        <w:t>escrow pursuant to a purchase and sales agreemen</w:t>
      </w:r>
      <w:r>
        <w:rPr>
          <w:rFonts w:ascii="Times New Roman" w:hAnsi="Times New Roman" w:cs="Times New Roman"/>
          <w:i/>
          <w:sz w:val="24"/>
          <w:szCs w:val="24"/>
        </w:rPr>
        <w:t xml:space="preserve">t (which is typically the Seller’s broker) they are automatically authorized and </w:t>
      </w:r>
      <w:r w:rsidRPr="00A15F4E">
        <w:rPr>
          <w:rFonts w:ascii="Times New Roman" w:hAnsi="Times New Roman" w:cs="Times New Roman"/>
          <w:i/>
          <w:sz w:val="24"/>
          <w:szCs w:val="24"/>
        </w:rPr>
        <w:t xml:space="preserve">bound to </w:t>
      </w:r>
      <w:r>
        <w:rPr>
          <w:rFonts w:ascii="Times New Roman" w:hAnsi="Times New Roman" w:cs="Times New Roman"/>
          <w:i/>
          <w:sz w:val="24"/>
          <w:szCs w:val="24"/>
        </w:rPr>
        <w:t xml:space="preserve">comply with the </w:t>
      </w:r>
      <w:r w:rsidRPr="00A15F4E">
        <w:rPr>
          <w:rFonts w:ascii="Times New Roman" w:hAnsi="Times New Roman" w:cs="Times New Roman"/>
          <w:i/>
          <w:sz w:val="24"/>
          <w:szCs w:val="24"/>
        </w:rPr>
        <w:t xml:space="preserve">purchase and sale agreement </w:t>
      </w:r>
      <w:r>
        <w:rPr>
          <w:rFonts w:ascii="Times New Roman" w:hAnsi="Times New Roman" w:cs="Times New Roman"/>
          <w:i/>
          <w:sz w:val="24"/>
          <w:szCs w:val="24"/>
        </w:rPr>
        <w:t xml:space="preserve">disbursement instructions for the funds it holds in escrow without the need for the escrow agent to otherwise be a party or a counter-signatory to the purchase and sales agreement.  </w:t>
      </w:r>
    </w:p>
    <w:p w14:paraId="5F389F33" w14:textId="77777777" w:rsidR="0011023C" w:rsidRDefault="0011023C" w:rsidP="0011023C">
      <w:pPr>
        <w:spacing w:after="0" w:line="240" w:lineRule="auto"/>
        <w:ind w:firstLine="720"/>
        <w:jc w:val="both"/>
        <w:rPr>
          <w:rFonts w:ascii="Times New Roman" w:hAnsi="Times New Roman" w:cs="Times New Roman"/>
          <w:i/>
          <w:sz w:val="24"/>
          <w:szCs w:val="24"/>
        </w:rPr>
      </w:pPr>
    </w:p>
    <w:p w14:paraId="1A4042B8" w14:textId="77777777" w:rsidR="0011023C" w:rsidRDefault="0011023C" w:rsidP="0011023C">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10.</w:t>
      </w:r>
      <w:r>
        <w:rPr>
          <w:rFonts w:ascii="Times New Roman" w:hAnsi="Times New Roman" w:cs="Times New Roman"/>
          <w:i/>
          <w:sz w:val="24"/>
          <w:szCs w:val="24"/>
        </w:rPr>
        <w:tab/>
        <w:t>REBA’s Ethical Standard No. 4 provides “</w:t>
      </w:r>
      <w:r w:rsidRPr="009D7C73">
        <w:rPr>
          <w:rFonts w:ascii="Times New Roman" w:hAnsi="Times New Roman" w:cs="Times New Roman"/>
          <w:i/>
          <w:sz w:val="24"/>
          <w:szCs w:val="24"/>
        </w:rPr>
        <w:t>An attorney shall not act as both attorney for a party in a real estate transaction and as a real estate broker to a party in the same transaction.</w:t>
      </w:r>
      <w:r>
        <w:rPr>
          <w:rFonts w:ascii="Times New Roman" w:hAnsi="Times New Roman" w:cs="Times New Roman"/>
          <w:i/>
          <w:sz w:val="24"/>
          <w:szCs w:val="24"/>
        </w:rPr>
        <w:t>”</w:t>
      </w:r>
    </w:p>
    <w:p w14:paraId="740AC21A" w14:textId="77777777" w:rsidR="00DC425D" w:rsidRDefault="00DC425D"/>
    <w:sectPr w:rsidR="00DC42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5A61D" w14:textId="77777777" w:rsidR="00471624" w:rsidRDefault="00471624" w:rsidP="0011023C">
      <w:pPr>
        <w:spacing w:after="0" w:line="240" w:lineRule="auto"/>
      </w:pPr>
      <w:r>
        <w:separator/>
      </w:r>
    </w:p>
  </w:endnote>
  <w:endnote w:type="continuationSeparator" w:id="0">
    <w:p w14:paraId="4C100543" w14:textId="77777777" w:rsidR="00471624" w:rsidRDefault="00471624" w:rsidP="0011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CDA46" w14:textId="77777777" w:rsidR="00471624" w:rsidRDefault="00471624" w:rsidP="0011023C">
      <w:pPr>
        <w:spacing w:after="0" w:line="240" w:lineRule="auto"/>
      </w:pPr>
      <w:r>
        <w:separator/>
      </w:r>
    </w:p>
  </w:footnote>
  <w:footnote w:type="continuationSeparator" w:id="0">
    <w:p w14:paraId="5971DE1B" w14:textId="77777777" w:rsidR="00471624" w:rsidRDefault="00471624" w:rsidP="0011023C">
      <w:pPr>
        <w:spacing w:after="0" w:line="240" w:lineRule="auto"/>
      </w:pPr>
      <w:r>
        <w:continuationSeparator/>
      </w:r>
    </w:p>
  </w:footnote>
  <w:footnote w:id="1">
    <w:p w14:paraId="2E4C427E" w14:textId="77777777" w:rsidR="0011023C" w:rsidRPr="00B70B9C" w:rsidRDefault="0011023C" w:rsidP="0011023C">
      <w:pPr>
        <w:pStyle w:val="FootnoteText"/>
        <w:jc w:val="both"/>
        <w:rPr>
          <w:rFonts w:ascii="Times New Roman" w:hAnsi="Times New Roman" w:cs="Times New Roman"/>
          <w:i/>
          <w:iCs/>
          <w:sz w:val="24"/>
          <w:szCs w:val="24"/>
        </w:rPr>
      </w:pPr>
      <w:r w:rsidRPr="00B70B9C">
        <w:rPr>
          <w:rStyle w:val="FootnoteReference"/>
          <w:i/>
          <w:iCs/>
        </w:rPr>
        <w:footnoteRef/>
      </w:r>
      <w:r w:rsidRPr="00B70B9C">
        <w:rPr>
          <w:i/>
          <w:iCs/>
        </w:rPr>
        <w:t xml:space="preserve">  </w:t>
      </w:r>
      <w:r w:rsidRPr="00B70B9C">
        <w:rPr>
          <w:rFonts w:ascii="Times New Roman" w:hAnsi="Times New Roman" w:cs="Times New Roman"/>
          <w:i/>
          <w:iCs/>
          <w:sz w:val="24"/>
          <w:szCs w:val="24"/>
        </w:rPr>
        <w:t>Multi Service Listing, or MLS, is a common term for a centralized listing of properties for sale.  MLS Property Information Network, Inc, (MLS PIN), is one company that operates in Massachusetts and there are several other companies in Massachusetts and nationally that include MLS in their trade names.  To minimize confusion among the companies, specific names are used in this Advisory Report if applicable, and otherwise MLS is used to mean a centralized property listing database.</w:t>
      </w:r>
    </w:p>
    <w:p w14:paraId="3E9FB7B6" w14:textId="77777777" w:rsidR="0011023C" w:rsidRDefault="0011023C" w:rsidP="0011023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3C"/>
    <w:rsid w:val="00061E8F"/>
    <w:rsid w:val="0011023C"/>
    <w:rsid w:val="00463DD8"/>
    <w:rsid w:val="0046613C"/>
    <w:rsid w:val="00471624"/>
    <w:rsid w:val="004A52EB"/>
    <w:rsid w:val="0054359F"/>
    <w:rsid w:val="005E5EB0"/>
    <w:rsid w:val="006C3BFB"/>
    <w:rsid w:val="006D7351"/>
    <w:rsid w:val="007E7279"/>
    <w:rsid w:val="008F447F"/>
    <w:rsid w:val="009A3E15"/>
    <w:rsid w:val="009E3BA9"/>
    <w:rsid w:val="009E5B0F"/>
    <w:rsid w:val="00A97025"/>
    <w:rsid w:val="00B70B9C"/>
    <w:rsid w:val="00BE4210"/>
    <w:rsid w:val="00D839D8"/>
    <w:rsid w:val="00DC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C3C3"/>
  <w15:chartTrackingRefBased/>
  <w15:docId w15:val="{249D2307-82DB-4DB9-8766-579D90F5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23C"/>
    <w:pPr>
      <w:spacing w:after="160" w:line="259"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11023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023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023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023C"/>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1023C"/>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1023C"/>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1023C"/>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1023C"/>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1023C"/>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2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2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02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02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02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02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02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023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0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23C"/>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02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023C"/>
    <w:pPr>
      <w:spacing w:before="160" w:line="240" w:lineRule="auto"/>
      <w:jc w:val="center"/>
    </w:pPr>
    <w:rPr>
      <w:rFonts w:ascii="Times New Roman" w:hAnsi="Times New Roman" w:cs="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1023C"/>
    <w:rPr>
      <w:i/>
      <w:iCs/>
      <w:color w:val="404040" w:themeColor="text1" w:themeTint="BF"/>
    </w:rPr>
  </w:style>
  <w:style w:type="paragraph" w:styleId="ListParagraph">
    <w:name w:val="List Paragraph"/>
    <w:basedOn w:val="Normal"/>
    <w:uiPriority w:val="34"/>
    <w:qFormat/>
    <w:rsid w:val="0011023C"/>
    <w:pPr>
      <w:spacing w:after="0" w:line="240" w:lineRule="auto"/>
      <w:ind w:left="720"/>
      <w:contextualSpacing/>
    </w:pPr>
    <w:rPr>
      <w:rFonts w:ascii="Times New Roman" w:hAnsi="Times New Roman" w:cs="Times New Roman"/>
      <w:kern w:val="2"/>
      <w:sz w:val="24"/>
      <w:szCs w:val="24"/>
      <w14:ligatures w14:val="standardContextual"/>
    </w:rPr>
  </w:style>
  <w:style w:type="character" w:styleId="IntenseEmphasis">
    <w:name w:val="Intense Emphasis"/>
    <w:basedOn w:val="DefaultParagraphFont"/>
    <w:uiPriority w:val="21"/>
    <w:qFormat/>
    <w:rsid w:val="0011023C"/>
    <w:rPr>
      <w:i/>
      <w:iCs/>
      <w:color w:val="0F4761" w:themeColor="accent1" w:themeShade="BF"/>
    </w:rPr>
  </w:style>
  <w:style w:type="paragraph" w:styleId="IntenseQuote">
    <w:name w:val="Intense Quote"/>
    <w:basedOn w:val="Normal"/>
    <w:next w:val="Normal"/>
    <w:link w:val="IntenseQuoteChar"/>
    <w:uiPriority w:val="30"/>
    <w:qFormat/>
    <w:rsid w:val="0011023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imes New Roman" w:hAnsi="Times New Roman" w:cs="Times New Roman"/>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1023C"/>
    <w:rPr>
      <w:i/>
      <w:iCs/>
      <w:color w:val="0F4761" w:themeColor="accent1" w:themeShade="BF"/>
    </w:rPr>
  </w:style>
  <w:style w:type="character" w:styleId="IntenseReference">
    <w:name w:val="Intense Reference"/>
    <w:basedOn w:val="DefaultParagraphFont"/>
    <w:uiPriority w:val="32"/>
    <w:qFormat/>
    <w:rsid w:val="0011023C"/>
    <w:rPr>
      <w:b/>
      <w:bCs/>
      <w:smallCaps/>
      <w:color w:val="0F4761" w:themeColor="accent1" w:themeShade="BF"/>
      <w:spacing w:val="5"/>
    </w:rPr>
  </w:style>
  <w:style w:type="paragraph" w:styleId="FootnoteText">
    <w:name w:val="footnote text"/>
    <w:basedOn w:val="Normal"/>
    <w:link w:val="FootnoteTextChar"/>
    <w:uiPriority w:val="99"/>
    <w:semiHidden/>
    <w:unhideWhenUsed/>
    <w:rsid w:val="001102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23C"/>
    <w:rPr>
      <w:rFonts w:asciiTheme="minorHAnsi" w:hAnsiTheme="minorHAnsi" w:cstheme="minorBidi"/>
      <w:kern w:val="0"/>
      <w:sz w:val="20"/>
      <w:szCs w:val="20"/>
      <w14:ligatures w14:val="none"/>
    </w:rPr>
  </w:style>
  <w:style w:type="character" w:styleId="FootnoteReference">
    <w:name w:val="footnote reference"/>
    <w:basedOn w:val="DefaultParagraphFont"/>
    <w:uiPriority w:val="99"/>
    <w:semiHidden/>
    <w:unhideWhenUsed/>
    <w:rsid w:val="00110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63DFBE9CFD84DA869865E1EE46ABA" ma:contentTypeVersion="18" ma:contentTypeDescription="Create a new document." ma:contentTypeScope="" ma:versionID="4bbd26dc82c4a28f25b19dc732d44456">
  <xsd:schema xmlns:xsd="http://www.w3.org/2001/XMLSchema" xmlns:xs="http://www.w3.org/2001/XMLSchema" xmlns:p="http://schemas.microsoft.com/office/2006/metadata/properties" xmlns:ns2="058d9749-3252-478d-a1ee-43d0d03e874f" xmlns:ns3="c811891e-5107-4fb7-988e-6860c515912f" targetNamespace="http://schemas.microsoft.com/office/2006/metadata/properties" ma:root="true" ma:fieldsID="845c4ac9172d0a6951020c841b8f53dd" ns2:_="" ns3:_="">
    <xsd:import namespace="058d9749-3252-478d-a1ee-43d0d03e874f"/>
    <xsd:import namespace="c811891e-5107-4fb7-988e-6860c5159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d9749-3252-478d-a1ee-43d0d03e8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65c695-b25c-46e6-90c9-c6463be689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1891e-5107-4fb7-988e-6860c51591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e3599c-ccb2-4274-be30-6685a96b55c7}" ma:internalName="TaxCatchAll" ma:showField="CatchAllData" ma:web="c811891e-5107-4fb7-988e-6860c5159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11891e-5107-4fb7-988e-6860c515912f" xsi:nil="true"/>
    <lcf76f155ced4ddcb4097134ff3c332f xmlns="058d9749-3252-478d-a1ee-43d0d03e8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8B2FF9-DDBE-41E2-BDE6-7D5EDA27CBCD}">
  <ds:schemaRefs>
    <ds:schemaRef ds:uri="http://schemas.microsoft.com/sharepoint/v3/contenttype/forms"/>
  </ds:schemaRefs>
</ds:datastoreItem>
</file>

<file path=customXml/itemProps2.xml><?xml version="1.0" encoding="utf-8"?>
<ds:datastoreItem xmlns:ds="http://schemas.openxmlformats.org/officeDocument/2006/customXml" ds:itemID="{031789F9-62D1-4AB1-AA8D-772F027E5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d9749-3252-478d-a1ee-43d0d03e874f"/>
    <ds:schemaRef ds:uri="c811891e-5107-4fb7-988e-6860c5159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4ED7E-3E9A-42DA-B8A1-BD5FD921A6AA}">
  <ds:schemaRefs>
    <ds:schemaRef ds:uri="http://schemas.microsoft.com/office/2006/metadata/properties"/>
    <ds:schemaRef ds:uri="http://schemas.microsoft.com/office/infopath/2007/PartnerControls"/>
    <ds:schemaRef ds:uri="c811891e-5107-4fb7-988e-6860c515912f"/>
    <ds:schemaRef ds:uri="058d9749-3252-478d-a1ee-43d0d03e874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Delaney</dc:creator>
  <cp:keywords/>
  <dc:description/>
  <cp:lastModifiedBy>Nicole Cohen</cp:lastModifiedBy>
  <cp:revision>3</cp:revision>
  <dcterms:created xsi:type="dcterms:W3CDTF">2024-10-29T20:10:00Z</dcterms:created>
  <dcterms:modified xsi:type="dcterms:W3CDTF">2024-10-29T20:15:00Z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0x010100C6763DFBE9CFD84DA869865E1EE46ABA</vt:lpwstr>
  </property>
  <property fmtid="{D5CDD505-2E9C-101B-9397-08002B2CF9AE}" pid="3" name="MediaServiceImageTags">
    <vt:lpwstr/>
  </property>
</Properties>
</file>